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F57C0" w14:textId="77777777" w:rsidR="00D0044D" w:rsidRDefault="006E69CE" w:rsidP="002913FA">
      <w:pPr>
        <w:pStyle w:val="NoSpacing"/>
      </w:pPr>
      <w:r w:rsidRPr="006E69CE">
        <w:rPr>
          <w:noProof/>
          <w:lang w:val="en-IN" w:eastAsia="en-IN" w:bidi="ar-SA"/>
        </w:rPr>
        <w:drawing>
          <wp:inline distT="0" distB="0" distL="0" distR="0" wp14:anchorId="532B67D7" wp14:editId="521A4386">
            <wp:extent cx="2721620" cy="973014"/>
            <wp:effectExtent l="0" t="0" r="2540" b="0"/>
            <wp:docPr id="2" name="Picture 2" descr="C:\Users\neelasrib\Desktop\SIDBI LOGO ENGL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elasrib\Desktop\SIDBI LOGO ENGLIS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620" cy="973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65D47" w14:textId="3D0A2915" w:rsidR="002978E5" w:rsidRDefault="006E69CE" w:rsidP="002978E5">
      <w:pPr>
        <w:spacing w:after="0"/>
        <w:rPr>
          <w:b/>
          <w:bCs/>
          <w:sz w:val="28"/>
          <w:szCs w:val="28"/>
        </w:rPr>
      </w:pPr>
      <w:r>
        <w:t>------------------------------------------------------------------------------------------------------------------------------------------</w:t>
      </w:r>
      <w:r w:rsidRPr="006E69CE">
        <w:rPr>
          <w:b/>
          <w:bCs/>
          <w:sz w:val="28"/>
          <w:szCs w:val="28"/>
        </w:rPr>
        <w:t>Press Release</w:t>
      </w:r>
      <w:r w:rsidR="002978E5">
        <w:rPr>
          <w:b/>
          <w:bCs/>
          <w:sz w:val="28"/>
          <w:szCs w:val="28"/>
        </w:rPr>
        <w:t xml:space="preserve">                                                         </w:t>
      </w:r>
      <w:r w:rsidR="002978E5">
        <w:rPr>
          <w:b/>
          <w:bCs/>
          <w:sz w:val="28"/>
          <w:szCs w:val="28"/>
        </w:rPr>
        <w:tab/>
      </w:r>
      <w:r w:rsidR="002978E5">
        <w:rPr>
          <w:b/>
          <w:bCs/>
          <w:sz w:val="28"/>
          <w:szCs w:val="28"/>
        </w:rPr>
        <w:tab/>
      </w:r>
      <w:r w:rsidR="002978E5">
        <w:rPr>
          <w:b/>
          <w:bCs/>
          <w:sz w:val="28"/>
          <w:szCs w:val="28"/>
        </w:rPr>
        <w:tab/>
      </w:r>
      <w:r w:rsidR="00C66677">
        <w:rPr>
          <w:b/>
          <w:bCs/>
          <w:sz w:val="28"/>
          <w:szCs w:val="28"/>
        </w:rPr>
        <w:t xml:space="preserve"> </w:t>
      </w:r>
      <w:r w:rsidR="005E35BD">
        <w:rPr>
          <w:b/>
          <w:bCs/>
          <w:sz w:val="28"/>
          <w:szCs w:val="28"/>
        </w:rPr>
        <w:t>21</w:t>
      </w:r>
      <w:r w:rsidR="002978E5">
        <w:rPr>
          <w:b/>
          <w:bCs/>
          <w:sz w:val="28"/>
          <w:szCs w:val="28"/>
        </w:rPr>
        <w:t xml:space="preserve"> </w:t>
      </w:r>
      <w:r w:rsidR="009C6483">
        <w:rPr>
          <w:b/>
          <w:bCs/>
          <w:sz w:val="28"/>
          <w:szCs w:val="28"/>
        </w:rPr>
        <w:t>February</w:t>
      </w:r>
      <w:r w:rsidR="00CD3B3F">
        <w:rPr>
          <w:b/>
          <w:bCs/>
          <w:sz w:val="28"/>
          <w:szCs w:val="28"/>
        </w:rPr>
        <w:t>,</w:t>
      </w:r>
      <w:r w:rsidR="002978E5">
        <w:rPr>
          <w:b/>
          <w:bCs/>
          <w:sz w:val="28"/>
          <w:szCs w:val="28"/>
        </w:rPr>
        <w:t xml:space="preserve"> 2019</w:t>
      </w:r>
    </w:p>
    <w:p w14:paraId="063568CE" w14:textId="77777777" w:rsidR="002978E5" w:rsidRDefault="002978E5" w:rsidP="002978E5">
      <w:pPr>
        <w:spacing w:after="0"/>
      </w:pPr>
      <w:r>
        <w:t>------------------------------------------------------------------------------------------------------------------------------------------</w:t>
      </w:r>
    </w:p>
    <w:p w14:paraId="4A024B8D" w14:textId="77777777" w:rsidR="002978E5" w:rsidRDefault="002978E5">
      <w:pPr>
        <w:rPr>
          <w:b/>
          <w:bCs/>
        </w:rPr>
      </w:pPr>
    </w:p>
    <w:p w14:paraId="5CBC8F82" w14:textId="77777777" w:rsidR="006F50D6" w:rsidRDefault="006F50D6" w:rsidP="00A47A41">
      <w:pPr>
        <w:jc w:val="center"/>
        <w:rPr>
          <w:b/>
          <w:bCs/>
          <w:sz w:val="28"/>
          <w:szCs w:val="28"/>
        </w:rPr>
      </w:pPr>
      <w:bookmarkStart w:id="0" w:name="_Hlk172925"/>
      <w:r w:rsidRPr="006F50D6">
        <w:rPr>
          <w:b/>
          <w:bCs/>
          <w:sz w:val="28"/>
          <w:szCs w:val="28"/>
        </w:rPr>
        <w:t xml:space="preserve">MSE sentiment ticks up: </w:t>
      </w:r>
      <w:proofErr w:type="spellStart"/>
      <w:r w:rsidRPr="006F50D6">
        <w:rPr>
          <w:b/>
          <w:bCs/>
          <w:sz w:val="28"/>
          <w:szCs w:val="28"/>
        </w:rPr>
        <w:t>CriSidEx</w:t>
      </w:r>
      <w:proofErr w:type="spellEnd"/>
    </w:p>
    <w:p w14:paraId="55193A36" w14:textId="0F5BEDCC" w:rsidR="002978E5" w:rsidRPr="006F50D6" w:rsidRDefault="006F50D6" w:rsidP="00A47A41">
      <w:pPr>
        <w:jc w:val="center"/>
        <w:rPr>
          <w:sz w:val="24"/>
          <w:szCs w:val="24"/>
        </w:rPr>
      </w:pPr>
      <w:r w:rsidRPr="006F50D6">
        <w:rPr>
          <w:sz w:val="24"/>
          <w:szCs w:val="24"/>
        </w:rPr>
        <w:t>Both manufacturing and services units see momentum increasing this quarter</w:t>
      </w:r>
      <w:r w:rsidR="00185878" w:rsidRPr="006F50D6">
        <w:rPr>
          <w:sz w:val="24"/>
          <w:szCs w:val="24"/>
        </w:rPr>
        <w:t xml:space="preserve"> </w:t>
      </w:r>
    </w:p>
    <w:p w14:paraId="55FA45E9" w14:textId="724DF6CC" w:rsidR="006F50D6" w:rsidRDefault="00FA451B" w:rsidP="008D55D7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Mumbai/New Delhi: </w:t>
      </w:r>
      <w:r w:rsidR="006F50D6" w:rsidRPr="006F50D6">
        <w:rPr>
          <w:sz w:val="24"/>
          <w:szCs w:val="24"/>
        </w:rPr>
        <w:t xml:space="preserve">Sentiment among </w:t>
      </w:r>
      <w:r w:rsidR="006F50D6">
        <w:rPr>
          <w:sz w:val="24"/>
          <w:szCs w:val="24"/>
        </w:rPr>
        <w:t>M</w:t>
      </w:r>
      <w:r w:rsidR="006F50D6" w:rsidRPr="006F50D6">
        <w:rPr>
          <w:sz w:val="24"/>
          <w:szCs w:val="24"/>
        </w:rPr>
        <w:t xml:space="preserve">icro and </w:t>
      </w:r>
      <w:r w:rsidR="006F50D6">
        <w:rPr>
          <w:sz w:val="24"/>
          <w:szCs w:val="24"/>
        </w:rPr>
        <w:t>S</w:t>
      </w:r>
      <w:r w:rsidR="006F50D6" w:rsidRPr="006F50D6">
        <w:rPr>
          <w:sz w:val="24"/>
          <w:szCs w:val="24"/>
        </w:rPr>
        <w:t xml:space="preserve">mall </w:t>
      </w:r>
      <w:r w:rsidR="006F50D6">
        <w:rPr>
          <w:sz w:val="24"/>
          <w:szCs w:val="24"/>
        </w:rPr>
        <w:t>E</w:t>
      </w:r>
      <w:r w:rsidR="006F50D6" w:rsidRPr="006F50D6">
        <w:rPr>
          <w:sz w:val="24"/>
          <w:szCs w:val="24"/>
        </w:rPr>
        <w:t xml:space="preserve">nterprises (MSEs) improved in the quarter ended December 2018, the latest </w:t>
      </w:r>
      <w:proofErr w:type="spellStart"/>
      <w:r w:rsidR="006F50D6" w:rsidRPr="006F50D6">
        <w:rPr>
          <w:sz w:val="24"/>
          <w:szCs w:val="24"/>
        </w:rPr>
        <w:t>CriSidEx</w:t>
      </w:r>
      <w:proofErr w:type="spellEnd"/>
      <w:r w:rsidR="006F50D6" w:rsidRPr="006F50D6">
        <w:rPr>
          <w:sz w:val="24"/>
          <w:szCs w:val="24"/>
        </w:rPr>
        <w:t xml:space="preserve"> score shows.</w:t>
      </w:r>
      <w:r w:rsidR="006F50D6">
        <w:rPr>
          <w:sz w:val="24"/>
          <w:szCs w:val="24"/>
        </w:rPr>
        <w:t xml:space="preserve"> </w:t>
      </w:r>
      <w:proofErr w:type="spellStart"/>
      <w:r w:rsidR="006F50D6">
        <w:rPr>
          <w:sz w:val="24"/>
          <w:szCs w:val="24"/>
        </w:rPr>
        <w:t>CriSidEx</w:t>
      </w:r>
      <w:proofErr w:type="spellEnd"/>
      <w:r w:rsidR="006F50D6">
        <w:rPr>
          <w:sz w:val="24"/>
          <w:szCs w:val="24"/>
        </w:rPr>
        <w:t xml:space="preserve"> or the </w:t>
      </w:r>
      <w:r w:rsidR="006F50D6" w:rsidRPr="006F50D6">
        <w:rPr>
          <w:sz w:val="24"/>
          <w:szCs w:val="24"/>
        </w:rPr>
        <w:t>CRISIL-SIDBI MSE Sentiment Index</w:t>
      </w:r>
      <w:r w:rsidR="006F50D6">
        <w:rPr>
          <w:sz w:val="24"/>
          <w:szCs w:val="24"/>
        </w:rPr>
        <w:t xml:space="preserve"> was launched by CRISIL Ltd</w:t>
      </w:r>
      <w:r w:rsidR="008D55D7">
        <w:rPr>
          <w:sz w:val="24"/>
          <w:szCs w:val="24"/>
        </w:rPr>
        <w:t>.</w:t>
      </w:r>
      <w:r w:rsidR="006F50D6">
        <w:rPr>
          <w:sz w:val="24"/>
          <w:szCs w:val="24"/>
        </w:rPr>
        <w:t xml:space="preserve"> and Small Industries Development Bank of India (SIDBI)</w:t>
      </w:r>
      <w:r w:rsidR="001B23F2">
        <w:rPr>
          <w:sz w:val="24"/>
          <w:szCs w:val="24"/>
        </w:rPr>
        <w:t xml:space="preserve"> </w:t>
      </w:r>
      <w:r w:rsidR="004F45D0">
        <w:rPr>
          <w:sz w:val="24"/>
          <w:szCs w:val="24"/>
        </w:rPr>
        <w:t>last year</w:t>
      </w:r>
      <w:r w:rsidR="006F50D6">
        <w:rPr>
          <w:sz w:val="24"/>
          <w:szCs w:val="24"/>
        </w:rPr>
        <w:t xml:space="preserve">. </w:t>
      </w:r>
    </w:p>
    <w:p w14:paraId="472229EC" w14:textId="459E8A93" w:rsidR="006F50D6" w:rsidRPr="006F50D6" w:rsidRDefault="006F50D6" w:rsidP="008D55D7">
      <w:pPr>
        <w:jc w:val="both"/>
        <w:rPr>
          <w:sz w:val="24"/>
          <w:szCs w:val="24"/>
        </w:rPr>
      </w:pPr>
      <w:r w:rsidRPr="006F50D6">
        <w:rPr>
          <w:sz w:val="24"/>
          <w:szCs w:val="24"/>
        </w:rPr>
        <w:t xml:space="preserve">At 128, the score was higher than 124 for the preceding quarter </w:t>
      </w:r>
      <w:proofErr w:type="gramStart"/>
      <w:r w:rsidRPr="006F50D6">
        <w:rPr>
          <w:sz w:val="24"/>
          <w:szCs w:val="24"/>
        </w:rPr>
        <w:t>and</w:t>
      </w:r>
      <w:r w:rsidR="008D55D7">
        <w:rPr>
          <w:sz w:val="24"/>
          <w:szCs w:val="24"/>
        </w:rPr>
        <w:t xml:space="preserve"> </w:t>
      </w:r>
      <w:r w:rsidRPr="006F50D6">
        <w:rPr>
          <w:sz w:val="24"/>
          <w:szCs w:val="24"/>
        </w:rPr>
        <w:t>also</w:t>
      </w:r>
      <w:proofErr w:type="gramEnd"/>
      <w:r w:rsidRPr="006F50D6">
        <w:rPr>
          <w:sz w:val="24"/>
          <w:szCs w:val="24"/>
        </w:rPr>
        <w:t xml:space="preserve"> a significant improvement over 107 for the corresponding quarter a year ago.</w:t>
      </w:r>
    </w:p>
    <w:p w14:paraId="04AF110A" w14:textId="77777777" w:rsidR="006F50D6" w:rsidRPr="006F50D6" w:rsidRDefault="006F50D6" w:rsidP="008D55D7">
      <w:pPr>
        <w:jc w:val="both"/>
        <w:rPr>
          <w:sz w:val="24"/>
          <w:szCs w:val="24"/>
        </w:rPr>
      </w:pPr>
      <w:r w:rsidRPr="006F50D6">
        <w:rPr>
          <w:sz w:val="24"/>
          <w:szCs w:val="24"/>
        </w:rPr>
        <w:t xml:space="preserve">The change was driven by an increase in order book size and employee base for manufacturing MSEs and an increase in profit after tax margin and employee base for services </w:t>
      </w:r>
      <w:proofErr w:type="spellStart"/>
      <w:r w:rsidRPr="006F50D6">
        <w:rPr>
          <w:sz w:val="24"/>
          <w:szCs w:val="24"/>
        </w:rPr>
        <w:t>MSEs.</w:t>
      </w:r>
      <w:proofErr w:type="spellEnd"/>
      <w:r w:rsidRPr="006F50D6">
        <w:rPr>
          <w:sz w:val="24"/>
          <w:szCs w:val="24"/>
        </w:rPr>
        <w:t xml:space="preserve"> </w:t>
      </w:r>
    </w:p>
    <w:p w14:paraId="4B2D58FD" w14:textId="77777777" w:rsidR="006F50D6" w:rsidRPr="006F50D6" w:rsidRDefault="006F50D6" w:rsidP="008D55D7">
      <w:pPr>
        <w:jc w:val="both"/>
        <w:rPr>
          <w:sz w:val="24"/>
          <w:szCs w:val="24"/>
        </w:rPr>
      </w:pPr>
      <w:r w:rsidRPr="006F50D6">
        <w:rPr>
          <w:sz w:val="24"/>
          <w:szCs w:val="24"/>
        </w:rPr>
        <w:t xml:space="preserve">To be sure, the December quarter had its share of </w:t>
      </w:r>
      <w:proofErr w:type="spellStart"/>
      <w:r w:rsidRPr="006F50D6">
        <w:rPr>
          <w:sz w:val="24"/>
          <w:szCs w:val="24"/>
        </w:rPr>
        <w:t>favourable</w:t>
      </w:r>
      <w:proofErr w:type="spellEnd"/>
      <w:r w:rsidRPr="006F50D6">
        <w:rPr>
          <w:sz w:val="24"/>
          <w:szCs w:val="24"/>
        </w:rPr>
        <w:t xml:space="preserve"> macroeconomic factors such as festive season, rupee depreciation, and a decline in oil prices, though it also bore the impact of headwinds such as the NBFC liquidity crunch, which shows in the 5th </w:t>
      </w:r>
      <w:proofErr w:type="spellStart"/>
      <w:r w:rsidRPr="006F50D6">
        <w:rPr>
          <w:sz w:val="24"/>
          <w:szCs w:val="24"/>
        </w:rPr>
        <w:t>CriSidEx</w:t>
      </w:r>
      <w:proofErr w:type="spellEnd"/>
      <w:r w:rsidRPr="006F50D6">
        <w:rPr>
          <w:sz w:val="24"/>
          <w:szCs w:val="24"/>
        </w:rPr>
        <w:t xml:space="preserve"> readings. </w:t>
      </w:r>
    </w:p>
    <w:p w14:paraId="25BBD022" w14:textId="77777777" w:rsidR="006F50D6" w:rsidRPr="006F50D6" w:rsidRDefault="006F50D6" w:rsidP="008D55D7">
      <w:pPr>
        <w:jc w:val="both"/>
        <w:rPr>
          <w:sz w:val="24"/>
          <w:szCs w:val="24"/>
        </w:rPr>
      </w:pPr>
      <w:r w:rsidRPr="006F50D6">
        <w:rPr>
          <w:sz w:val="24"/>
          <w:szCs w:val="24"/>
        </w:rPr>
        <w:t xml:space="preserve">Among service providers, 41% reported a good survey quarter, indicating improvement over all previous surveys. Among manufacturers, 42% reported a good quarter – an improvement over the quarter immediately preceding it. </w:t>
      </w:r>
    </w:p>
    <w:p w14:paraId="312C633F" w14:textId="77777777" w:rsidR="006F50D6" w:rsidRPr="006F50D6" w:rsidRDefault="006F50D6" w:rsidP="008D55D7">
      <w:pPr>
        <w:jc w:val="both"/>
        <w:rPr>
          <w:sz w:val="24"/>
          <w:szCs w:val="24"/>
        </w:rPr>
      </w:pPr>
      <w:r w:rsidRPr="006F50D6">
        <w:rPr>
          <w:sz w:val="24"/>
          <w:szCs w:val="24"/>
        </w:rPr>
        <w:t>By and large, the respondents expected the feel good to hold in the next quarter, too.</w:t>
      </w:r>
    </w:p>
    <w:p w14:paraId="0EE838E3" w14:textId="4CCBE73D" w:rsidR="006F50D6" w:rsidRPr="006F50D6" w:rsidRDefault="006F50D6" w:rsidP="008D55D7">
      <w:pPr>
        <w:jc w:val="both"/>
        <w:rPr>
          <w:sz w:val="24"/>
          <w:szCs w:val="24"/>
        </w:rPr>
      </w:pPr>
      <w:r w:rsidRPr="006F50D6">
        <w:rPr>
          <w:sz w:val="24"/>
          <w:szCs w:val="24"/>
        </w:rPr>
        <w:t xml:space="preserve">Shri Mohammad Mustafa, IAS, Chairman &amp; Managing Director, SIDBI said, “For January-March, both manufacturing and services companies were optimistic of a good business performance. Over 50% of the respondents each from manufacturing and services expected the positive momentum to continue. In the manufacturing space, pharmaceuticals, gems &amp; </w:t>
      </w:r>
      <w:proofErr w:type="spellStart"/>
      <w:r w:rsidRPr="006F50D6">
        <w:rPr>
          <w:sz w:val="24"/>
          <w:szCs w:val="24"/>
        </w:rPr>
        <w:t>jewellery</w:t>
      </w:r>
      <w:proofErr w:type="spellEnd"/>
      <w:r w:rsidRPr="006F50D6">
        <w:rPr>
          <w:sz w:val="24"/>
          <w:szCs w:val="24"/>
        </w:rPr>
        <w:t>, and chemicals, and in services, professional services, traders, logistics &amp; power, and power utilities were the most optimistic.”</w:t>
      </w:r>
    </w:p>
    <w:p w14:paraId="7DDB1D80" w14:textId="77777777" w:rsidR="006F50D6" w:rsidRPr="006F50D6" w:rsidRDefault="006F50D6" w:rsidP="008D55D7">
      <w:pPr>
        <w:jc w:val="both"/>
        <w:rPr>
          <w:sz w:val="24"/>
          <w:szCs w:val="24"/>
        </w:rPr>
      </w:pPr>
      <w:r w:rsidRPr="006F50D6">
        <w:rPr>
          <w:sz w:val="24"/>
          <w:szCs w:val="24"/>
        </w:rPr>
        <w:t xml:space="preserve">Among other trends, smaller MSEs had a better outing in the survey quarter – at 49% of those with less than 10 employees compared with 44% of those with more than 25 employees. </w:t>
      </w:r>
    </w:p>
    <w:p w14:paraId="5A07AAD0" w14:textId="77777777" w:rsidR="006F50D6" w:rsidRPr="006F50D6" w:rsidRDefault="006F50D6" w:rsidP="008D55D7">
      <w:pPr>
        <w:jc w:val="both"/>
        <w:rPr>
          <w:sz w:val="24"/>
          <w:szCs w:val="24"/>
        </w:rPr>
      </w:pPr>
      <w:r w:rsidRPr="006F50D6">
        <w:rPr>
          <w:sz w:val="24"/>
          <w:szCs w:val="24"/>
        </w:rPr>
        <w:t>Classifying by legal constitution, companies were more optimistic, with 44% reporting a good quarter, compared with 40% of firms.</w:t>
      </w:r>
    </w:p>
    <w:p w14:paraId="7330DC61" w14:textId="77777777" w:rsidR="006F50D6" w:rsidRPr="006F50D6" w:rsidRDefault="006F50D6" w:rsidP="008D55D7">
      <w:pPr>
        <w:jc w:val="both"/>
        <w:rPr>
          <w:sz w:val="24"/>
          <w:szCs w:val="24"/>
        </w:rPr>
      </w:pPr>
      <w:r w:rsidRPr="006F50D6">
        <w:rPr>
          <w:sz w:val="24"/>
          <w:szCs w:val="24"/>
        </w:rPr>
        <w:lastRenderedPageBreak/>
        <w:t xml:space="preserve">In terms of order book, 41% of the MSEs reported an increase, higher than 40% in July-September 2018 and 27% in October-December 2017. </w:t>
      </w:r>
    </w:p>
    <w:p w14:paraId="348367E1" w14:textId="77777777" w:rsidR="006F50D6" w:rsidRPr="006F50D6" w:rsidRDefault="006F50D6" w:rsidP="008D55D7">
      <w:pPr>
        <w:jc w:val="both"/>
        <w:rPr>
          <w:sz w:val="24"/>
          <w:szCs w:val="24"/>
        </w:rPr>
      </w:pPr>
      <w:r w:rsidRPr="006F50D6">
        <w:rPr>
          <w:sz w:val="24"/>
          <w:szCs w:val="24"/>
        </w:rPr>
        <w:t>Export-oriented MSEs fared better than their domestic peers, with 48% reporting an increase in order book as against 41% of domestic peers. For the first time in the five surveys so far, exporters reporting a good quarter surpassed domestic market-focused units – marking a trend reversal.</w:t>
      </w:r>
    </w:p>
    <w:p w14:paraId="3034F948" w14:textId="77777777" w:rsidR="006F50D6" w:rsidRPr="006F50D6" w:rsidRDefault="006F50D6" w:rsidP="008D55D7">
      <w:pPr>
        <w:jc w:val="both"/>
        <w:rPr>
          <w:sz w:val="24"/>
          <w:szCs w:val="24"/>
        </w:rPr>
      </w:pPr>
      <w:r w:rsidRPr="006F50D6">
        <w:rPr>
          <w:sz w:val="24"/>
          <w:szCs w:val="24"/>
        </w:rPr>
        <w:t>Among importers, the share of respondents who increased their orders in October-December spurted to 25%, from 14% the previous quarter – the highest any survey so far.</w:t>
      </w:r>
    </w:p>
    <w:p w14:paraId="7B4C1120" w14:textId="77777777" w:rsidR="006F50D6" w:rsidRPr="006F50D6" w:rsidRDefault="006F50D6" w:rsidP="008D55D7">
      <w:pPr>
        <w:jc w:val="both"/>
        <w:rPr>
          <w:sz w:val="24"/>
          <w:szCs w:val="24"/>
        </w:rPr>
      </w:pPr>
      <w:r w:rsidRPr="006F50D6">
        <w:rPr>
          <w:sz w:val="24"/>
          <w:szCs w:val="24"/>
        </w:rPr>
        <w:t xml:space="preserve">In term of volume of production, as much as 57% of manufacturing MSEs expected an increase in production in the January-March quarter and only 6% expected it to be lower. Capacity </w:t>
      </w:r>
      <w:proofErr w:type="spellStart"/>
      <w:r w:rsidRPr="006F50D6">
        <w:rPr>
          <w:sz w:val="24"/>
          <w:szCs w:val="24"/>
        </w:rPr>
        <w:t>utilisation</w:t>
      </w:r>
      <w:proofErr w:type="spellEnd"/>
      <w:r w:rsidRPr="006F50D6">
        <w:rPr>
          <w:sz w:val="24"/>
          <w:szCs w:val="24"/>
        </w:rPr>
        <w:t xml:space="preserve"> was expected to broadly mirror the production trends.</w:t>
      </w:r>
    </w:p>
    <w:p w14:paraId="3039EDE4" w14:textId="77777777" w:rsidR="006F50D6" w:rsidRPr="006F50D6" w:rsidRDefault="006F50D6" w:rsidP="008D55D7">
      <w:pPr>
        <w:jc w:val="both"/>
        <w:rPr>
          <w:sz w:val="24"/>
          <w:szCs w:val="24"/>
        </w:rPr>
      </w:pPr>
      <w:r w:rsidRPr="006F50D6">
        <w:rPr>
          <w:sz w:val="24"/>
          <w:szCs w:val="24"/>
        </w:rPr>
        <w:t>Employment improved, with 20% of the MSEs reporting additions to their employee base in October-December compared with 14% in July-September. What’s more, 26% expected to add employees in the January-March quarter, while only 6% intended to reduce headcount.</w:t>
      </w:r>
    </w:p>
    <w:p w14:paraId="396801A5" w14:textId="77777777" w:rsidR="006F50D6" w:rsidRPr="006F50D6" w:rsidRDefault="006F50D6" w:rsidP="008D55D7">
      <w:pPr>
        <w:jc w:val="both"/>
        <w:rPr>
          <w:sz w:val="24"/>
          <w:szCs w:val="24"/>
        </w:rPr>
      </w:pPr>
      <w:r w:rsidRPr="006F50D6">
        <w:rPr>
          <w:sz w:val="24"/>
          <w:szCs w:val="24"/>
        </w:rPr>
        <w:t>At the other end, lenders expected a minor improvement in asset quality.</w:t>
      </w:r>
    </w:p>
    <w:p w14:paraId="6613EB29" w14:textId="77777777" w:rsidR="006F50D6" w:rsidRPr="006F50D6" w:rsidRDefault="006F50D6" w:rsidP="008D55D7">
      <w:pPr>
        <w:jc w:val="both"/>
        <w:rPr>
          <w:sz w:val="24"/>
          <w:szCs w:val="24"/>
        </w:rPr>
      </w:pPr>
      <w:r w:rsidRPr="006F50D6">
        <w:rPr>
          <w:sz w:val="24"/>
          <w:szCs w:val="24"/>
        </w:rPr>
        <w:t xml:space="preserve">Shri Amish Mehta, Chief Operating Officer, CRISIL Ltd. said, “Three out of 10 lenders surveyed saw an improvement in the overall business situation of MSEs and 5 out of 10 rated it as satisfactory. These lenders expected the business situation to remain unchanged in January-March – with 3 out of 10 having a positive outlook on </w:t>
      </w:r>
      <w:proofErr w:type="spellStart"/>
      <w:r w:rsidRPr="006F50D6">
        <w:rPr>
          <w:sz w:val="24"/>
          <w:szCs w:val="24"/>
        </w:rPr>
        <w:t>MSEs.</w:t>
      </w:r>
      <w:proofErr w:type="spellEnd"/>
      <w:r w:rsidRPr="006F50D6">
        <w:rPr>
          <w:sz w:val="24"/>
          <w:szCs w:val="24"/>
        </w:rPr>
        <w:t>”</w:t>
      </w:r>
    </w:p>
    <w:p w14:paraId="4629B04D" w14:textId="77777777" w:rsidR="006F50D6" w:rsidRDefault="006F50D6" w:rsidP="008D55D7">
      <w:pPr>
        <w:jc w:val="both"/>
        <w:rPr>
          <w:sz w:val="24"/>
          <w:szCs w:val="24"/>
        </w:rPr>
      </w:pPr>
      <w:r w:rsidRPr="006F50D6">
        <w:rPr>
          <w:sz w:val="24"/>
          <w:szCs w:val="24"/>
        </w:rPr>
        <w:t>That said, the lenders expected the weakness in MSE asset quality to marginally reduce, with 5 out of 10 believing Non-Performing Assets (NPAs) in the segment will not change, 4 in 10 believing it will decrease, and only 1 in 10 believing it will increase.</w:t>
      </w:r>
    </w:p>
    <w:p w14:paraId="33A45121" w14:textId="0FFF80A2" w:rsidR="00BC3339" w:rsidRPr="006D52D9" w:rsidRDefault="00BC3339" w:rsidP="00BC3339">
      <w:pPr>
        <w:jc w:val="both"/>
        <w:rPr>
          <w:sz w:val="24"/>
          <w:szCs w:val="24"/>
        </w:rPr>
      </w:pPr>
      <w:r w:rsidRPr="006D52D9">
        <w:rPr>
          <w:b/>
          <w:bCs/>
          <w:sz w:val="24"/>
          <w:szCs w:val="24"/>
        </w:rPr>
        <w:t>About SIDBI:</w:t>
      </w:r>
      <w:r w:rsidRPr="006D52D9">
        <w:rPr>
          <w:sz w:val="24"/>
          <w:szCs w:val="24"/>
        </w:rPr>
        <w:t xml:space="preserve"> Since its formation in 1990, SIDBI has been impacting the lives of citizens across various strata of </w:t>
      </w:r>
      <w:r w:rsidR="00D0242D">
        <w:rPr>
          <w:sz w:val="24"/>
          <w:szCs w:val="24"/>
        </w:rPr>
        <w:t xml:space="preserve">the </w:t>
      </w:r>
      <w:r w:rsidRPr="006D52D9">
        <w:rPr>
          <w:sz w:val="24"/>
          <w:szCs w:val="24"/>
        </w:rPr>
        <w:t>society through its integrated, innovative and inclusive approach. Be it traditional domestic industry, small</w:t>
      </w:r>
      <w:r>
        <w:rPr>
          <w:sz w:val="24"/>
          <w:szCs w:val="24"/>
        </w:rPr>
        <w:t xml:space="preserve"> units</w:t>
      </w:r>
      <w:r w:rsidRPr="006D52D9">
        <w:rPr>
          <w:sz w:val="24"/>
          <w:szCs w:val="24"/>
        </w:rPr>
        <w:t xml:space="preserve">, bottom-of-the-pyramid entrepreneurs, medium enterprises to high-end knowledge-based industries and export promotions, SIDBI has directly or indirectly touched the lives of more than 360 lakh people in </w:t>
      </w:r>
      <w:r>
        <w:rPr>
          <w:sz w:val="24"/>
          <w:szCs w:val="24"/>
        </w:rPr>
        <w:t>the MSEs</w:t>
      </w:r>
      <w:r w:rsidRPr="006D52D9">
        <w:rPr>
          <w:sz w:val="24"/>
          <w:szCs w:val="24"/>
        </w:rPr>
        <w:t xml:space="preserve"> sector, through various credit and developmental measures. </w:t>
      </w:r>
    </w:p>
    <w:p w14:paraId="1A1011AC" w14:textId="77777777" w:rsidR="00787D61" w:rsidRDefault="00BC3339" w:rsidP="00787D61">
      <w:r w:rsidRPr="006D52D9">
        <w:rPr>
          <w:sz w:val="24"/>
          <w:szCs w:val="24"/>
        </w:rPr>
        <w:t xml:space="preserve">For more information, please </w:t>
      </w:r>
      <w:r>
        <w:rPr>
          <w:sz w:val="24"/>
          <w:szCs w:val="24"/>
        </w:rPr>
        <w:t>visit</w:t>
      </w:r>
      <w:r w:rsidRPr="006D52D9">
        <w:rPr>
          <w:sz w:val="24"/>
          <w:szCs w:val="24"/>
        </w:rPr>
        <w:t xml:space="preserve">:  </w:t>
      </w:r>
      <w:hyperlink r:id="rId6" w:history="1">
        <w:r w:rsidR="00787D61">
          <w:rPr>
            <w:rStyle w:val="Hyperlink"/>
          </w:rPr>
          <w:t>https://www.sidbi.in/</w:t>
        </w:r>
      </w:hyperlink>
      <w:r w:rsidR="00787D61">
        <w:t xml:space="preserve"> </w:t>
      </w:r>
    </w:p>
    <w:p w14:paraId="5F4B320C" w14:textId="77777777" w:rsidR="00BC3339" w:rsidRPr="006D52D9" w:rsidRDefault="00BC3339" w:rsidP="00BC3339">
      <w:pPr>
        <w:jc w:val="both"/>
        <w:rPr>
          <w:sz w:val="24"/>
          <w:szCs w:val="24"/>
        </w:rPr>
      </w:pPr>
      <w:r w:rsidRPr="006D52D9">
        <w:rPr>
          <w:b/>
          <w:bCs/>
          <w:sz w:val="24"/>
          <w:szCs w:val="24"/>
        </w:rPr>
        <w:t>Media contact:</w:t>
      </w:r>
      <w:r w:rsidRPr="006D52D9">
        <w:rPr>
          <w:sz w:val="24"/>
          <w:szCs w:val="24"/>
        </w:rPr>
        <w:t xml:space="preserve"> Neelasri Barman</w:t>
      </w:r>
      <w:r>
        <w:rPr>
          <w:sz w:val="24"/>
          <w:szCs w:val="24"/>
        </w:rPr>
        <w:t xml:space="preserve">, </w:t>
      </w:r>
      <w:r w:rsidRPr="006D52D9">
        <w:rPr>
          <w:sz w:val="24"/>
          <w:szCs w:val="24"/>
        </w:rPr>
        <w:t>M</w:t>
      </w:r>
      <w:r>
        <w:rPr>
          <w:sz w:val="24"/>
          <w:szCs w:val="24"/>
        </w:rPr>
        <w:t>obile:</w:t>
      </w:r>
      <w:r w:rsidRPr="006D52D9">
        <w:rPr>
          <w:sz w:val="24"/>
          <w:szCs w:val="24"/>
        </w:rPr>
        <w:t xml:space="preserve"> +91 8879760249</w:t>
      </w:r>
      <w:r>
        <w:rPr>
          <w:sz w:val="24"/>
          <w:szCs w:val="24"/>
        </w:rPr>
        <w:t>,</w:t>
      </w:r>
      <w:r w:rsidRPr="006D52D9">
        <w:rPr>
          <w:sz w:val="24"/>
          <w:szCs w:val="24"/>
        </w:rPr>
        <w:t xml:space="preserve"> E-mail</w:t>
      </w:r>
      <w:r>
        <w:rPr>
          <w:sz w:val="24"/>
          <w:szCs w:val="24"/>
        </w:rPr>
        <w:t>:</w:t>
      </w:r>
      <w:r w:rsidRPr="006D52D9">
        <w:rPr>
          <w:sz w:val="24"/>
          <w:szCs w:val="24"/>
        </w:rPr>
        <w:t xml:space="preserve"> neelasrib@sidbi.in</w:t>
      </w:r>
    </w:p>
    <w:p w14:paraId="4A9B99F7" w14:textId="62CBEE2B" w:rsidR="00BC3339" w:rsidRDefault="00BC3339" w:rsidP="009B369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sz w:val="36"/>
        </w:rPr>
      </w:pPr>
    </w:p>
    <w:p w14:paraId="447CD278" w14:textId="77777777" w:rsidR="00BC3339" w:rsidRDefault="00BC3339" w:rsidP="009B369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sz w:val="36"/>
        </w:rPr>
      </w:pPr>
    </w:p>
    <w:p w14:paraId="7E05DE85" w14:textId="77777777" w:rsidR="00BC3339" w:rsidRDefault="00BC3339" w:rsidP="009B369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sz w:val="36"/>
        </w:rPr>
      </w:pPr>
    </w:p>
    <w:p w14:paraId="400125B0" w14:textId="77777777" w:rsidR="00BC3339" w:rsidRDefault="00BC3339" w:rsidP="009B369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sz w:val="36"/>
        </w:rPr>
      </w:pPr>
    </w:p>
    <w:p w14:paraId="6FF868C2" w14:textId="4236810A" w:rsidR="009B369A" w:rsidRPr="009E032A" w:rsidRDefault="009B369A" w:rsidP="009B369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</w:rPr>
      </w:pPr>
      <w:r w:rsidRPr="009E032A">
        <w:rPr>
          <w:rFonts w:ascii="Arial" w:hAnsi="Arial" w:cs="Arial"/>
          <w:b/>
          <w:sz w:val="36"/>
        </w:rPr>
        <w:lastRenderedPageBreak/>
        <w:t>Annexure</w:t>
      </w:r>
    </w:p>
    <w:p w14:paraId="27D7BAE9" w14:textId="77777777" w:rsidR="009B369A" w:rsidRPr="009B369A" w:rsidRDefault="009B369A" w:rsidP="009B369A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proofErr w:type="spellStart"/>
      <w:r w:rsidRPr="009B369A">
        <w:rPr>
          <w:sz w:val="24"/>
          <w:szCs w:val="24"/>
        </w:rPr>
        <w:t>CriSidEx</w:t>
      </w:r>
      <w:proofErr w:type="spellEnd"/>
      <w:r w:rsidRPr="009B369A">
        <w:rPr>
          <w:sz w:val="24"/>
          <w:szCs w:val="24"/>
        </w:rPr>
        <w:t xml:space="preserve"> score indicates an upbeat MSE sector</w:t>
      </w:r>
    </w:p>
    <w:p w14:paraId="1A2A4DCB" w14:textId="77777777" w:rsidR="009B369A" w:rsidRPr="009E032A" w:rsidRDefault="009B369A" w:rsidP="009B369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color w:val="FF0000"/>
          <w:sz w:val="20"/>
        </w:rPr>
      </w:pPr>
      <w:r w:rsidRPr="00405704">
        <w:rPr>
          <w:rFonts w:ascii="Arial" w:hAnsi="Arial" w:cs="Arial"/>
          <w:noProof/>
        </w:rPr>
        <w:drawing>
          <wp:inline distT="0" distB="0" distL="0" distR="0" wp14:anchorId="2AC10E01" wp14:editId="1B976FD0">
            <wp:extent cx="3257550" cy="2476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733B8" w14:textId="77777777" w:rsidR="009B369A" w:rsidRDefault="009B369A" w:rsidP="009B369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color w:val="FF0000"/>
          <w:sz w:val="20"/>
        </w:rPr>
      </w:pPr>
      <w:r w:rsidRPr="00405704">
        <w:rPr>
          <w:rFonts w:ascii="Arial" w:hAnsi="Arial" w:cs="Arial"/>
          <w:noProof/>
        </w:rPr>
        <w:drawing>
          <wp:inline distT="0" distB="0" distL="0" distR="0" wp14:anchorId="66E8A3DF" wp14:editId="3AF09A9C">
            <wp:extent cx="4448175" cy="1153231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50655" cy="1153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804EB" w14:textId="070FAE9A" w:rsidR="009B369A" w:rsidRDefault="009B369A" w:rsidP="009B369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color w:val="FF0000"/>
          <w:sz w:val="20"/>
        </w:rPr>
      </w:pPr>
    </w:p>
    <w:p w14:paraId="7FA9FF5E" w14:textId="37B6A68B" w:rsidR="00BC3339" w:rsidRDefault="00BC3339" w:rsidP="009B369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color w:val="FF0000"/>
          <w:sz w:val="20"/>
        </w:rPr>
      </w:pPr>
    </w:p>
    <w:p w14:paraId="752003D3" w14:textId="683FB3FB" w:rsidR="00BC3339" w:rsidRDefault="00BC3339" w:rsidP="009B369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color w:val="FF0000"/>
          <w:sz w:val="20"/>
        </w:rPr>
      </w:pPr>
    </w:p>
    <w:p w14:paraId="6EE8879C" w14:textId="69A76D4C" w:rsidR="00BC3339" w:rsidRDefault="00BC3339" w:rsidP="009B369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color w:val="FF0000"/>
          <w:sz w:val="20"/>
        </w:rPr>
      </w:pPr>
    </w:p>
    <w:p w14:paraId="5718DFBD" w14:textId="704C3B69" w:rsidR="00BC3339" w:rsidRDefault="00BC3339" w:rsidP="009B369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color w:val="FF0000"/>
          <w:sz w:val="20"/>
        </w:rPr>
      </w:pPr>
    </w:p>
    <w:p w14:paraId="37901E9C" w14:textId="2EF31D11" w:rsidR="00BC3339" w:rsidRDefault="00BC3339" w:rsidP="009B369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color w:val="FF0000"/>
          <w:sz w:val="20"/>
        </w:rPr>
      </w:pPr>
    </w:p>
    <w:p w14:paraId="3FAED936" w14:textId="31CFC3C3" w:rsidR="00BC3339" w:rsidRDefault="00BC3339" w:rsidP="009B369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color w:val="FF0000"/>
          <w:sz w:val="20"/>
        </w:rPr>
      </w:pPr>
    </w:p>
    <w:p w14:paraId="0A95CCD6" w14:textId="2FDFDBAD" w:rsidR="00BC3339" w:rsidRDefault="00BC3339" w:rsidP="009B369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color w:val="FF0000"/>
          <w:sz w:val="20"/>
        </w:rPr>
      </w:pPr>
    </w:p>
    <w:p w14:paraId="39FB3C96" w14:textId="76501DEE" w:rsidR="00BC3339" w:rsidRDefault="00BC3339" w:rsidP="009B369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color w:val="FF0000"/>
          <w:sz w:val="20"/>
        </w:rPr>
      </w:pPr>
    </w:p>
    <w:p w14:paraId="7A9932B0" w14:textId="623A7442" w:rsidR="00BC3339" w:rsidRDefault="00BC3339" w:rsidP="009B369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color w:val="FF0000"/>
          <w:sz w:val="20"/>
        </w:rPr>
      </w:pPr>
    </w:p>
    <w:p w14:paraId="778AFE96" w14:textId="2A55AEF0" w:rsidR="00BC3339" w:rsidRDefault="00BC3339" w:rsidP="009B369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color w:val="FF0000"/>
          <w:sz w:val="20"/>
        </w:rPr>
      </w:pPr>
    </w:p>
    <w:p w14:paraId="3424FD23" w14:textId="0A0FFA4A" w:rsidR="00BC3339" w:rsidRDefault="00BC3339" w:rsidP="009B369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color w:val="FF0000"/>
          <w:sz w:val="20"/>
        </w:rPr>
      </w:pPr>
    </w:p>
    <w:p w14:paraId="2201A2CE" w14:textId="33CF7BF9" w:rsidR="00BC3339" w:rsidRDefault="00BC3339" w:rsidP="009B369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color w:val="FF0000"/>
          <w:sz w:val="20"/>
        </w:rPr>
      </w:pPr>
    </w:p>
    <w:p w14:paraId="39D3CFB5" w14:textId="0DD41AD7" w:rsidR="00BC3339" w:rsidRDefault="00BC3339" w:rsidP="009B369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color w:val="FF0000"/>
          <w:sz w:val="20"/>
        </w:rPr>
      </w:pPr>
    </w:p>
    <w:p w14:paraId="1D16538B" w14:textId="77777777" w:rsidR="00BC3339" w:rsidRDefault="00BC3339" w:rsidP="009B369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color w:val="FF0000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32"/>
      </w:tblGrid>
      <w:tr w:rsidR="009B369A" w:rsidRPr="009E032A" w14:paraId="6308C40A" w14:textId="77777777" w:rsidTr="009B369A">
        <w:trPr>
          <w:trHeight w:val="259"/>
        </w:trPr>
        <w:tc>
          <w:tcPr>
            <w:tcW w:w="5832" w:type="dxa"/>
          </w:tcPr>
          <w:p w14:paraId="2C01FB0C" w14:textId="77777777" w:rsidR="009B369A" w:rsidRPr="00405704" w:rsidRDefault="009B369A" w:rsidP="005E196F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Arial" w:hAnsi="Arial" w:cs="Arial"/>
                <w:b/>
                <w:noProof/>
              </w:rPr>
            </w:pPr>
            <w:r w:rsidRPr="009E032A">
              <w:rPr>
                <w:rFonts w:ascii="Arial" w:hAnsi="Arial" w:cs="Arial"/>
                <w:b/>
                <w:color w:val="FF0000"/>
                <w:sz w:val="20"/>
              </w:rPr>
              <w:lastRenderedPageBreak/>
              <w:t xml:space="preserve"> </w:t>
            </w:r>
            <w:r w:rsidRPr="00405704">
              <w:rPr>
                <w:rFonts w:ascii="Arial" w:hAnsi="Arial" w:cs="Arial"/>
                <w:b/>
                <w:noProof/>
              </w:rPr>
              <w:t>Manufacturing</w:t>
            </w:r>
          </w:p>
        </w:tc>
      </w:tr>
      <w:tr w:rsidR="009B369A" w:rsidRPr="009E032A" w14:paraId="083ADFF5" w14:textId="77777777" w:rsidTr="009B369A">
        <w:trPr>
          <w:trHeight w:val="3610"/>
        </w:trPr>
        <w:tc>
          <w:tcPr>
            <w:tcW w:w="5832" w:type="dxa"/>
          </w:tcPr>
          <w:p w14:paraId="625594D0" w14:textId="77777777" w:rsidR="009B369A" w:rsidRPr="009E032A" w:rsidRDefault="009B369A" w:rsidP="005E196F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Arial" w:hAnsi="Arial" w:cs="Arial"/>
                <w:b/>
                <w:sz w:val="20"/>
              </w:rPr>
            </w:pPr>
            <w:r w:rsidRPr="00405704">
              <w:rPr>
                <w:rFonts w:ascii="Arial" w:hAnsi="Arial" w:cs="Arial"/>
                <w:noProof/>
              </w:rPr>
              <w:drawing>
                <wp:inline distT="0" distB="0" distL="0" distR="0" wp14:anchorId="073ABC05" wp14:editId="12C921DE">
                  <wp:extent cx="3562350" cy="3428665"/>
                  <wp:effectExtent l="0" t="0" r="0" b="63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2350" cy="3428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369A" w:rsidRPr="009E032A" w14:paraId="22513AD6" w14:textId="77777777" w:rsidTr="009B369A">
        <w:trPr>
          <w:trHeight w:val="259"/>
        </w:trPr>
        <w:tc>
          <w:tcPr>
            <w:tcW w:w="5832" w:type="dxa"/>
          </w:tcPr>
          <w:p w14:paraId="55AE7F29" w14:textId="77777777" w:rsidR="009B369A" w:rsidRPr="00405704" w:rsidRDefault="009B369A" w:rsidP="005E196F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Arial" w:hAnsi="Arial" w:cs="Arial"/>
                <w:b/>
                <w:noProof/>
              </w:rPr>
            </w:pPr>
            <w:r w:rsidRPr="00405704">
              <w:rPr>
                <w:rFonts w:ascii="Arial" w:hAnsi="Arial" w:cs="Arial"/>
                <w:b/>
                <w:noProof/>
              </w:rPr>
              <w:t>Services</w:t>
            </w:r>
          </w:p>
        </w:tc>
      </w:tr>
      <w:tr w:rsidR="009B369A" w:rsidRPr="009E032A" w14:paraId="52D866DB" w14:textId="77777777" w:rsidTr="009B369A">
        <w:trPr>
          <w:trHeight w:val="3610"/>
        </w:trPr>
        <w:tc>
          <w:tcPr>
            <w:tcW w:w="5832" w:type="dxa"/>
          </w:tcPr>
          <w:p w14:paraId="214AEFA6" w14:textId="77777777" w:rsidR="009B369A" w:rsidRPr="009E032A" w:rsidRDefault="009B369A" w:rsidP="005E196F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Arial" w:hAnsi="Arial" w:cs="Arial"/>
                <w:b/>
                <w:sz w:val="20"/>
              </w:rPr>
            </w:pPr>
            <w:r w:rsidRPr="00405704">
              <w:rPr>
                <w:rFonts w:ascii="Arial" w:hAnsi="Arial" w:cs="Arial"/>
                <w:noProof/>
              </w:rPr>
              <w:drawing>
                <wp:inline distT="0" distB="0" distL="0" distR="0" wp14:anchorId="3D5AE1E2" wp14:editId="6298685A">
                  <wp:extent cx="3566160" cy="3440203"/>
                  <wp:effectExtent l="0" t="0" r="0" b="825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6160" cy="3440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EEB833" w14:textId="7C8FC021" w:rsidR="009B369A" w:rsidRDefault="009B369A" w:rsidP="009B369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color w:val="FF0000"/>
          <w:sz w:val="20"/>
        </w:rPr>
      </w:pPr>
    </w:p>
    <w:p w14:paraId="31CA9A84" w14:textId="44967C6A" w:rsidR="00BC3339" w:rsidRDefault="00BC3339" w:rsidP="009B369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color w:val="FF0000"/>
          <w:sz w:val="20"/>
        </w:rPr>
      </w:pPr>
    </w:p>
    <w:p w14:paraId="5C2FCCC4" w14:textId="77777777" w:rsidR="00BC3339" w:rsidRDefault="00BC3339" w:rsidP="009B369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color w:val="FF0000"/>
          <w:sz w:val="20"/>
        </w:rPr>
      </w:pPr>
    </w:p>
    <w:p w14:paraId="57FB8759" w14:textId="77777777" w:rsidR="009B369A" w:rsidRPr="009B369A" w:rsidRDefault="009B369A" w:rsidP="009B369A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9B369A">
        <w:rPr>
          <w:sz w:val="24"/>
          <w:szCs w:val="24"/>
        </w:rPr>
        <w:lastRenderedPageBreak/>
        <w:t>Services doing better in east, manufacturing in north</w:t>
      </w:r>
    </w:p>
    <w:p w14:paraId="67843F11" w14:textId="77777777" w:rsidR="009B369A" w:rsidRPr="009E032A" w:rsidRDefault="009B369A" w:rsidP="009B369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color w:val="D7002A"/>
          <w:sz w:val="20"/>
        </w:rPr>
      </w:pPr>
      <w:r w:rsidRPr="00405704">
        <w:rPr>
          <w:rFonts w:ascii="Arial" w:hAnsi="Arial" w:cs="Arial"/>
          <w:noProof/>
        </w:rPr>
        <w:drawing>
          <wp:inline distT="0" distB="0" distL="0" distR="0" wp14:anchorId="0BE828F4" wp14:editId="544FB4E6">
            <wp:extent cx="3676650" cy="2070757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81602" cy="2073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451EE" w14:textId="33E2B5DF" w:rsidR="009B369A" w:rsidRPr="009B369A" w:rsidRDefault="009B369A" w:rsidP="009B369A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9B369A">
        <w:rPr>
          <w:sz w:val="24"/>
          <w:szCs w:val="24"/>
        </w:rPr>
        <w:t>Larger MSEs more positive in manufacturing, smaller ones in services</w:t>
      </w:r>
    </w:p>
    <w:p w14:paraId="247800BD" w14:textId="77777777" w:rsidR="009B369A" w:rsidRPr="009E032A" w:rsidRDefault="009B369A" w:rsidP="009B369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color w:val="FF0000"/>
          <w:sz w:val="20"/>
        </w:rPr>
      </w:pPr>
      <w:r w:rsidRPr="00405704">
        <w:rPr>
          <w:rFonts w:ascii="Arial" w:hAnsi="Arial" w:cs="Arial"/>
          <w:noProof/>
        </w:rPr>
        <w:drawing>
          <wp:inline distT="0" distB="0" distL="0" distR="0" wp14:anchorId="63122A3E" wp14:editId="76380AB3">
            <wp:extent cx="3762375" cy="2167455"/>
            <wp:effectExtent l="0" t="0" r="0" b="444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76020" cy="217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0ACBCD8E" w14:textId="27471E55" w:rsidR="008B2401" w:rsidRDefault="008B2401" w:rsidP="008B2401">
      <w:pPr>
        <w:jc w:val="both"/>
        <w:rPr>
          <w:sz w:val="24"/>
          <w:szCs w:val="24"/>
        </w:rPr>
      </w:pPr>
      <w:r w:rsidRPr="008B2401">
        <w:rPr>
          <w:sz w:val="24"/>
          <w:szCs w:val="24"/>
        </w:rPr>
        <w:t xml:space="preserve"> </w:t>
      </w:r>
      <w:bookmarkEnd w:id="0"/>
    </w:p>
    <w:sectPr w:rsidR="008B2401" w:rsidSect="00510FC2">
      <w:pgSz w:w="12240" w:h="15840"/>
      <w:pgMar w:top="1440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F3246674"/>
    <w:lvl w:ilvl="0" w:tplc="F95A77BE">
      <w:start w:val="1"/>
      <w:numFmt w:val="bullet"/>
      <w:lvlText w:val=""/>
      <w:lvlJc w:val="left"/>
    </w:lvl>
    <w:lvl w:ilvl="1" w:tplc="1E0065DA">
      <w:numFmt w:val="decimal"/>
      <w:lvlText w:val=""/>
      <w:lvlJc w:val="left"/>
    </w:lvl>
    <w:lvl w:ilvl="2" w:tplc="D31C5318">
      <w:numFmt w:val="decimal"/>
      <w:lvlText w:val=""/>
      <w:lvlJc w:val="left"/>
    </w:lvl>
    <w:lvl w:ilvl="3" w:tplc="1AA69EF6">
      <w:numFmt w:val="decimal"/>
      <w:lvlText w:val=""/>
      <w:lvlJc w:val="left"/>
    </w:lvl>
    <w:lvl w:ilvl="4" w:tplc="B40A6448">
      <w:numFmt w:val="decimal"/>
      <w:lvlText w:val=""/>
      <w:lvlJc w:val="left"/>
    </w:lvl>
    <w:lvl w:ilvl="5" w:tplc="99387B54">
      <w:numFmt w:val="decimal"/>
      <w:lvlText w:val=""/>
      <w:lvlJc w:val="left"/>
    </w:lvl>
    <w:lvl w:ilvl="6" w:tplc="CBCAA16A">
      <w:numFmt w:val="decimal"/>
      <w:lvlText w:val=""/>
      <w:lvlJc w:val="left"/>
    </w:lvl>
    <w:lvl w:ilvl="7" w:tplc="FFBC5AB8">
      <w:numFmt w:val="decimal"/>
      <w:lvlText w:val=""/>
      <w:lvlJc w:val="left"/>
    </w:lvl>
    <w:lvl w:ilvl="8" w:tplc="B6404FCE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070CB18A"/>
    <w:lvl w:ilvl="0" w:tplc="A1501572">
      <w:start w:val="1"/>
      <w:numFmt w:val="bullet"/>
      <w:lvlText w:val=""/>
      <w:lvlJc w:val="left"/>
    </w:lvl>
    <w:lvl w:ilvl="1" w:tplc="FC4A2BD0">
      <w:numFmt w:val="decimal"/>
      <w:lvlText w:val=""/>
      <w:lvlJc w:val="left"/>
    </w:lvl>
    <w:lvl w:ilvl="2" w:tplc="378432B6">
      <w:numFmt w:val="decimal"/>
      <w:lvlText w:val=""/>
      <w:lvlJc w:val="left"/>
    </w:lvl>
    <w:lvl w:ilvl="3" w:tplc="D474DDA0">
      <w:numFmt w:val="decimal"/>
      <w:lvlText w:val=""/>
      <w:lvlJc w:val="left"/>
    </w:lvl>
    <w:lvl w:ilvl="4" w:tplc="C23CF9E4">
      <w:numFmt w:val="decimal"/>
      <w:lvlText w:val=""/>
      <w:lvlJc w:val="left"/>
    </w:lvl>
    <w:lvl w:ilvl="5" w:tplc="47446FB2">
      <w:numFmt w:val="decimal"/>
      <w:lvlText w:val=""/>
      <w:lvlJc w:val="left"/>
    </w:lvl>
    <w:lvl w:ilvl="6" w:tplc="9BF460DC">
      <w:numFmt w:val="decimal"/>
      <w:lvlText w:val=""/>
      <w:lvlJc w:val="left"/>
    </w:lvl>
    <w:lvl w:ilvl="7" w:tplc="36A01B4A">
      <w:numFmt w:val="decimal"/>
      <w:lvlText w:val=""/>
      <w:lvlJc w:val="left"/>
    </w:lvl>
    <w:lvl w:ilvl="8" w:tplc="2FAC3246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81225802"/>
    <w:lvl w:ilvl="0" w:tplc="9C36473E">
      <w:start w:val="1"/>
      <w:numFmt w:val="bullet"/>
      <w:lvlText w:val=""/>
      <w:lvlJc w:val="left"/>
    </w:lvl>
    <w:lvl w:ilvl="1" w:tplc="8A36DB60">
      <w:numFmt w:val="decimal"/>
      <w:lvlText w:val=""/>
      <w:lvlJc w:val="left"/>
    </w:lvl>
    <w:lvl w:ilvl="2" w:tplc="7DB4092E">
      <w:numFmt w:val="decimal"/>
      <w:lvlText w:val=""/>
      <w:lvlJc w:val="left"/>
    </w:lvl>
    <w:lvl w:ilvl="3" w:tplc="7B304F5A">
      <w:numFmt w:val="decimal"/>
      <w:lvlText w:val=""/>
      <w:lvlJc w:val="left"/>
    </w:lvl>
    <w:lvl w:ilvl="4" w:tplc="91B0B150">
      <w:numFmt w:val="decimal"/>
      <w:lvlText w:val=""/>
      <w:lvlJc w:val="left"/>
    </w:lvl>
    <w:lvl w:ilvl="5" w:tplc="E8E8CEF8">
      <w:numFmt w:val="decimal"/>
      <w:lvlText w:val=""/>
      <w:lvlJc w:val="left"/>
    </w:lvl>
    <w:lvl w:ilvl="6" w:tplc="B53C5276">
      <w:numFmt w:val="decimal"/>
      <w:lvlText w:val=""/>
      <w:lvlJc w:val="left"/>
    </w:lvl>
    <w:lvl w:ilvl="7" w:tplc="C9AEB72E">
      <w:numFmt w:val="decimal"/>
      <w:lvlText w:val=""/>
      <w:lvlJc w:val="left"/>
    </w:lvl>
    <w:lvl w:ilvl="8" w:tplc="E856C89E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EAE4C532"/>
    <w:lvl w:ilvl="0" w:tplc="AD5C0E68">
      <w:start w:val="1"/>
      <w:numFmt w:val="bullet"/>
      <w:lvlText w:val=""/>
      <w:lvlJc w:val="left"/>
    </w:lvl>
    <w:lvl w:ilvl="1" w:tplc="1A963780">
      <w:numFmt w:val="decimal"/>
      <w:lvlText w:val=""/>
      <w:lvlJc w:val="left"/>
    </w:lvl>
    <w:lvl w:ilvl="2" w:tplc="B568C9CC">
      <w:numFmt w:val="decimal"/>
      <w:lvlText w:val=""/>
      <w:lvlJc w:val="left"/>
    </w:lvl>
    <w:lvl w:ilvl="3" w:tplc="4AB69DD2">
      <w:numFmt w:val="decimal"/>
      <w:lvlText w:val=""/>
      <w:lvlJc w:val="left"/>
    </w:lvl>
    <w:lvl w:ilvl="4" w:tplc="2DC8D436">
      <w:numFmt w:val="decimal"/>
      <w:lvlText w:val=""/>
      <w:lvlJc w:val="left"/>
    </w:lvl>
    <w:lvl w:ilvl="5" w:tplc="D10E9EA0">
      <w:numFmt w:val="decimal"/>
      <w:lvlText w:val=""/>
      <w:lvlJc w:val="left"/>
    </w:lvl>
    <w:lvl w:ilvl="6" w:tplc="C826CF1A">
      <w:numFmt w:val="decimal"/>
      <w:lvlText w:val=""/>
      <w:lvlJc w:val="left"/>
    </w:lvl>
    <w:lvl w:ilvl="7" w:tplc="A17C8536">
      <w:numFmt w:val="decimal"/>
      <w:lvlText w:val=""/>
      <w:lvlJc w:val="left"/>
    </w:lvl>
    <w:lvl w:ilvl="8" w:tplc="DDD838BC">
      <w:numFmt w:val="decimal"/>
      <w:lvlText w:val=""/>
      <w:lvlJc w:val="left"/>
    </w:lvl>
  </w:abstractNum>
  <w:abstractNum w:abstractNumId="4" w15:restartNumberingAfterBreak="0">
    <w:nsid w:val="00007E87"/>
    <w:multiLevelType w:val="hybridMultilevel"/>
    <w:tmpl w:val="D36A2154"/>
    <w:lvl w:ilvl="0" w:tplc="EE781D68">
      <w:start w:val="1"/>
      <w:numFmt w:val="bullet"/>
      <w:lvlText w:val=""/>
      <w:lvlJc w:val="left"/>
    </w:lvl>
    <w:lvl w:ilvl="1" w:tplc="809A2E68">
      <w:start w:val="1"/>
      <w:numFmt w:val="bullet"/>
      <w:lvlText w:val=""/>
      <w:lvlJc w:val="left"/>
    </w:lvl>
    <w:lvl w:ilvl="2" w:tplc="A3488BB2">
      <w:numFmt w:val="decimal"/>
      <w:lvlText w:val=""/>
      <w:lvlJc w:val="left"/>
    </w:lvl>
    <w:lvl w:ilvl="3" w:tplc="8E84EE18">
      <w:numFmt w:val="decimal"/>
      <w:lvlText w:val=""/>
      <w:lvlJc w:val="left"/>
    </w:lvl>
    <w:lvl w:ilvl="4" w:tplc="AB52F232">
      <w:numFmt w:val="decimal"/>
      <w:lvlText w:val=""/>
      <w:lvlJc w:val="left"/>
    </w:lvl>
    <w:lvl w:ilvl="5" w:tplc="1F30F176">
      <w:numFmt w:val="decimal"/>
      <w:lvlText w:val=""/>
      <w:lvlJc w:val="left"/>
    </w:lvl>
    <w:lvl w:ilvl="6" w:tplc="F99EA35C">
      <w:numFmt w:val="decimal"/>
      <w:lvlText w:val=""/>
      <w:lvlJc w:val="left"/>
    </w:lvl>
    <w:lvl w:ilvl="7" w:tplc="8ABCBC86">
      <w:numFmt w:val="decimal"/>
      <w:lvlText w:val=""/>
      <w:lvlJc w:val="left"/>
    </w:lvl>
    <w:lvl w:ilvl="8" w:tplc="D7BCDB78">
      <w:numFmt w:val="decimal"/>
      <w:lvlText w:val=""/>
      <w:lvlJc w:val="left"/>
    </w:lvl>
  </w:abstractNum>
  <w:abstractNum w:abstractNumId="5" w15:restartNumberingAfterBreak="0">
    <w:nsid w:val="0E2A1D3E"/>
    <w:multiLevelType w:val="hybridMultilevel"/>
    <w:tmpl w:val="D862E7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46919"/>
    <w:multiLevelType w:val="hybridMultilevel"/>
    <w:tmpl w:val="619AD6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65AF2"/>
    <w:multiLevelType w:val="hybridMultilevel"/>
    <w:tmpl w:val="F0D81E28"/>
    <w:lvl w:ilvl="0" w:tplc="3A761FF2">
      <w:start w:val="1"/>
      <w:numFmt w:val="bullet"/>
      <w:lvlText w:val=""/>
      <w:lvlJc w:val="left"/>
      <w:pPr>
        <w:ind w:left="1168" w:hanging="360"/>
      </w:pPr>
      <w:rPr>
        <w:rFonts w:ascii="Wingdings" w:hAnsi="Wingdings" w:hint="default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8" w15:restartNumberingAfterBreak="0">
    <w:nsid w:val="5AB80F69"/>
    <w:multiLevelType w:val="hybridMultilevel"/>
    <w:tmpl w:val="C90667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44D"/>
    <w:rsid w:val="00004C01"/>
    <w:rsid w:val="0001195D"/>
    <w:rsid w:val="00012406"/>
    <w:rsid w:val="000262C5"/>
    <w:rsid w:val="000322E4"/>
    <w:rsid w:val="000728EF"/>
    <w:rsid w:val="00077441"/>
    <w:rsid w:val="0008003B"/>
    <w:rsid w:val="000B1AB4"/>
    <w:rsid w:val="000C2A0D"/>
    <w:rsid w:val="000E542E"/>
    <w:rsid w:val="00125E63"/>
    <w:rsid w:val="00161F21"/>
    <w:rsid w:val="0017547E"/>
    <w:rsid w:val="00182DF0"/>
    <w:rsid w:val="00185878"/>
    <w:rsid w:val="00187CAC"/>
    <w:rsid w:val="001A3FC7"/>
    <w:rsid w:val="001A4F81"/>
    <w:rsid w:val="001B223C"/>
    <w:rsid w:val="001B23F2"/>
    <w:rsid w:val="00220F3C"/>
    <w:rsid w:val="002514C6"/>
    <w:rsid w:val="002913FA"/>
    <w:rsid w:val="002978E5"/>
    <w:rsid w:val="002A04A5"/>
    <w:rsid w:val="002A5EAA"/>
    <w:rsid w:val="002B659E"/>
    <w:rsid w:val="003019C9"/>
    <w:rsid w:val="00362653"/>
    <w:rsid w:val="003B54C3"/>
    <w:rsid w:val="003D47AE"/>
    <w:rsid w:val="004250C1"/>
    <w:rsid w:val="00434735"/>
    <w:rsid w:val="004445B0"/>
    <w:rsid w:val="0045025C"/>
    <w:rsid w:val="00451BD0"/>
    <w:rsid w:val="004B195A"/>
    <w:rsid w:val="004C101C"/>
    <w:rsid w:val="004D28C7"/>
    <w:rsid w:val="004D3664"/>
    <w:rsid w:val="004D558E"/>
    <w:rsid w:val="004D74F8"/>
    <w:rsid w:val="004F45D0"/>
    <w:rsid w:val="00510FC2"/>
    <w:rsid w:val="00531046"/>
    <w:rsid w:val="0053419E"/>
    <w:rsid w:val="00567A96"/>
    <w:rsid w:val="005721AD"/>
    <w:rsid w:val="00592D35"/>
    <w:rsid w:val="005A293B"/>
    <w:rsid w:val="005C1283"/>
    <w:rsid w:val="005C3515"/>
    <w:rsid w:val="005C5D9B"/>
    <w:rsid w:val="005E05D8"/>
    <w:rsid w:val="005E35BD"/>
    <w:rsid w:val="005F3F13"/>
    <w:rsid w:val="006002E9"/>
    <w:rsid w:val="00606709"/>
    <w:rsid w:val="00616926"/>
    <w:rsid w:val="00641DD4"/>
    <w:rsid w:val="00684807"/>
    <w:rsid w:val="00692CEB"/>
    <w:rsid w:val="006A2021"/>
    <w:rsid w:val="006A2874"/>
    <w:rsid w:val="006D5214"/>
    <w:rsid w:val="006D52D9"/>
    <w:rsid w:val="006E504F"/>
    <w:rsid w:val="006E69CE"/>
    <w:rsid w:val="006E77CD"/>
    <w:rsid w:val="006F50D6"/>
    <w:rsid w:val="00705458"/>
    <w:rsid w:val="0072470E"/>
    <w:rsid w:val="00731909"/>
    <w:rsid w:val="00733D1B"/>
    <w:rsid w:val="007435E2"/>
    <w:rsid w:val="007478F1"/>
    <w:rsid w:val="00747A6B"/>
    <w:rsid w:val="00747F0A"/>
    <w:rsid w:val="00776832"/>
    <w:rsid w:val="00787D61"/>
    <w:rsid w:val="007A03B5"/>
    <w:rsid w:val="007B72C9"/>
    <w:rsid w:val="007C6D47"/>
    <w:rsid w:val="007D04CD"/>
    <w:rsid w:val="007E4F10"/>
    <w:rsid w:val="00811948"/>
    <w:rsid w:val="00843D54"/>
    <w:rsid w:val="008441FF"/>
    <w:rsid w:val="0084476A"/>
    <w:rsid w:val="008504C9"/>
    <w:rsid w:val="008624AB"/>
    <w:rsid w:val="00867252"/>
    <w:rsid w:val="00883C62"/>
    <w:rsid w:val="00884737"/>
    <w:rsid w:val="008A04DB"/>
    <w:rsid w:val="008A7189"/>
    <w:rsid w:val="008B2401"/>
    <w:rsid w:val="008C136D"/>
    <w:rsid w:val="008D55D7"/>
    <w:rsid w:val="00904D50"/>
    <w:rsid w:val="00946472"/>
    <w:rsid w:val="00956F21"/>
    <w:rsid w:val="0097550F"/>
    <w:rsid w:val="009B2B1F"/>
    <w:rsid w:val="009B369A"/>
    <w:rsid w:val="009C6483"/>
    <w:rsid w:val="009E7B4B"/>
    <w:rsid w:val="00A170BA"/>
    <w:rsid w:val="00A47A41"/>
    <w:rsid w:val="00A64CF6"/>
    <w:rsid w:val="00A65160"/>
    <w:rsid w:val="00A76676"/>
    <w:rsid w:val="00A84C1D"/>
    <w:rsid w:val="00AB3D40"/>
    <w:rsid w:val="00AC20B6"/>
    <w:rsid w:val="00AC625C"/>
    <w:rsid w:val="00AC78AA"/>
    <w:rsid w:val="00B17FCD"/>
    <w:rsid w:val="00B2012F"/>
    <w:rsid w:val="00B40EEB"/>
    <w:rsid w:val="00B51DB8"/>
    <w:rsid w:val="00B529F8"/>
    <w:rsid w:val="00B90FF7"/>
    <w:rsid w:val="00B94E16"/>
    <w:rsid w:val="00BC3339"/>
    <w:rsid w:val="00BC5C36"/>
    <w:rsid w:val="00BD4100"/>
    <w:rsid w:val="00BE7537"/>
    <w:rsid w:val="00C24F85"/>
    <w:rsid w:val="00C368F3"/>
    <w:rsid w:val="00C46053"/>
    <w:rsid w:val="00C526E1"/>
    <w:rsid w:val="00C66677"/>
    <w:rsid w:val="00C836C4"/>
    <w:rsid w:val="00CA6F30"/>
    <w:rsid w:val="00CD3B3F"/>
    <w:rsid w:val="00CF27AC"/>
    <w:rsid w:val="00D0044D"/>
    <w:rsid w:val="00D0242D"/>
    <w:rsid w:val="00D07DF8"/>
    <w:rsid w:val="00D2432C"/>
    <w:rsid w:val="00D27884"/>
    <w:rsid w:val="00D61ED4"/>
    <w:rsid w:val="00D74DEA"/>
    <w:rsid w:val="00D76CF8"/>
    <w:rsid w:val="00DA4CEE"/>
    <w:rsid w:val="00DA69A1"/>
    <w:rsid w:val="00DF73A7"/>
    <w:rsid w:val="00E10488"/>
    <w:rsid w:val="00E47228"/>
    <w:rsid w:val="00E63478"/>
    <w:rsid w:val="00E947E4"/>
    <w:rsid w:val="00EA164F"/>
    <w:rsid w:val="00EA6B32"/>
    <w:rsid w:val="00EC5C4A"/>
    <w:rsid w:val="00ED3F06"/>
    <w:rsid w:val="00EE3894"/>
    <w:rsid w:val="00F01B6C"/>
    <w:rsid w:val="00F02C84"/>
    <w:rsid w:val="00F210E9"/>
    <w:rsid w:val="00F35DF8"/>
    <w:rsid w:val="00F367DB"/>
    <w:rsid w:val="00F574B7"/>
    <w:rsid w:val="00F605D7"/>
    <w:rsid w:val="00F730FE"/>
    <w:rsid w:val="00F856BA"/>
    <w:rsid w:val="00F95AAD"/>
    <w:rsid w:val="00FA451B"/>
    <w:rsid w:val="00FB3988"/>
    <w:rsid w:val="00FC51B4"/>
    <w:rsid w:val="00FD2D0C"/>
    <w:rsid w:val="00FE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4078E"/>
  <w15:chartTrackingRefBased/>
  <w15:docId w15:val="{7FEAACE4-F4B3-4949-9E59-4F9761DB1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1F2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1F2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B3D4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3D40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D40"/>
    <w:rPr>
      <w:rFonts w:ascii="Segoe UI" w:hAnsi="Segoe UI" w:cs="Mangal"/>
      <w:sz w:val="18"/>
      <w:szCs w:val="16"/>
    </w:rPr>
  </w:style>
  <w:style w:type="paragraph" w:styleId="ListParagraph">
    <w:name w:val="List Paragraph"/>
    <w:basedOn w:val="Normal"/>
    <w:uiPriority w:val="34"/>
    <w:qFormat/>
    <w:rsid w:val="007B72C9"/>
    <w:pPr>
      <w:spacing w:after="0" w:line="240" w:lineRule="auto"/>
      <w:ind w:left="720"/>
      <w:contextualSpacing/>
    </w:pPr>
    <w:rPr>
      <w:rFonts w:ascii="Times New Roman" w:eastAsiaTheme="minorEastAsia" w:hAnsi="Times New Roman" w:cs="Mangal"/>
      <w:lang w:val="en-IN" w:eastAsia="en-IN"/>
    </w:rPr>
  </w:style>
  <w:style w:type="table" w:styleId="TableGrid">
    <w:name w:val="Table Grid"/>
    <w:basedOn w:val="TableNormal"/>
    <w:uiPriority w:val="39"/>
    <w:rsid w:val="00E63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247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470E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470E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47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70E"/>
    <w:rPr>
      <w:b/>
      <w:bCs/>
      <w:sz w:val="20"/>
      <w:szCs w:val="18"/>
    </w:rPr>
  </w:style>
  <w:style w:type="paragraph" w:styleId="Revision">
    <w:name w:val="Revision"/>
    <w:hidden/>
    <w:uiPriority w:val="99"/>
    <w:semiHidden/>
    <w:rsid w:val="007247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idbi.in/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Neelasri Barman</dc:creator>
  <cp:keywords/>
  <dc:description/>
  <cp:lastModifiedBy>Neelasri Barman</cp:lastModifiedBy>
  <cp:revision>12</cp:revision>
  <cp:lastPrinted>2019-02-06T09:52:00Z</cp:lastPrinted>
  <dcterms:created xsi:type="dcterms:W3CDTF">2019-02-20T13:43:00Z</dcterms:created>
  <dcterms:modified xsi:type="dcterms:W3CDTF">2019-02-21T07:47:00Z</dcterms:modified>
</cp:coreProperties>
</file>