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F6" w:rsidRPr="00B30A3D" w:rsidRDefault="00D37BF6" w:rsidP="00D37BF6">
      <w:pPr>
        <w:jc w:val="center"/>
        <w:rPr>
          <w:rFonts w:ascii="Arial" w:eastAsiaTheme="majorEastAsia" w:hAnsi="Arial" w:cs="Arial"/>
          <w:b/>
          <w:sz w:val="32"/>
          <w:szCs w:val="32"/>
        </w:rPr>
      </w:pPr>
      <w:r w:rsidRPr="00B30A3D">
        <w:rPr>
          <w:rFonts w:ascii="Arial" w:eastAsiaTheme="majorEastAsia" w:hAnsi="Arial" w:cs="Arial"/>
          <w:b/>
          <w:sz w:val="32"/>
          <w:szCs w:val="32"/>
        </w:rPr>
        <w:t>SIDBI and TransUnion CIBIL launch “MSME Pulse”</w:t>
      </w:r>
      <w:r w:rsidR="00B30A3D" w:rsidRPr="00B30A3D">
        <w:rPr>
          <w:rFonts w:ascii="Arial" w:eastAsiaTheme="majorEastAsia" w:hAnsi="Arial" w:cs="Arial"/>
          <w:b/>
          <w:sz w:val="32"/>
          <w:szCs w:val="32"/>
        </w:rPr>
        <w:t>-</w:t>
      </w:r>
      <w:r w:rsidRPr="00B30A3D">
        <w:rPr>
          <w:rFonts w:ascii="Arial" w:eastAsiaTheme="majorEastAsia" w:hAnsi="Arial" w:cs="Arial"/>
          <w:b/>
          <w:sz w:val="32"/>
          <w:szCs w:val="32"/>
        </w:rPr>
        <w:t xml:space="preserve"> India’s largest study based on over 5M entities with </w:t>
      </w:r>
      <w:r w:rsidR="0067036E">
        <w:rPr>
          <w:rFonts w:ascii="Arial" w:eastAsiaTheme="majorEastAsia" w:hAnsi="Arial" w:cs="Arial"/>
          <w:b/>
          <w:sz w:val="32"/>
          <w:szCs w:val="32"/>
        </w:rPr>
        <w:t>active credit accounts</w:t>
      </w:r>
    </w:p>
    <w:p w:rsidR="008A098F" w:rsidRPr="00B30A3D" w:rsidRDefault="00BC6D34" w:rsidP="005B4126">
      <w:pPr>
        <w:jc w:val="center"/>
        <w:rPr>
          <w:rFonts w:ascii="Arial" w:eastAsiaTheme="majorEastAsia" w:hAnsi="Arial" w:cs="Arial"/>
          <w:i/>
          <w:sz w:val="28"/>
          <w:szCs w:val="28"/>
        </w:rPr>
      </w:pPr>
      <w:r w:rsidRPr="00B30A3D">
        <w:rPr>
          <w:rFonts w:ascii="Arial" w:eastAsiaTheme="majorEastAsia" w:hAnsi="Arial" w:cs="Arial"/>
          <w:i/>
          <w:sz w:val="28"/>
          <w:szCs w:val="28"/>
        </w:rPr>
        <w:t>MSME</w:t>
      </w:r>
      <w:r w:rsidR="00B30A3D">
        <w:rPr>
          <w:rFonts w:ascii="Arial" w:eastAsiaTheme="majorEastAsia" w:hAnsi="Arial" w:cs="Arial"/>
          <w:i/>
          <w:sz w:val="28"/>
          <w:szCs w:val="28"/>
        </w:rPr>
        <w:t xml:space="preserve"> emerges as the most attractive s</w:t>
      </w:r>
      <w:r w:rsidR="00D37BF6" w:rsidRPr="00B30A3D">
        <w:rPr>
          <w:rFonts w:ascii="Arial" w:eastAsiaTheme="majorEastAsia" w:hAnsi="Arial" w:cs="Arial"/>
          <w:i/>
          <w:sz w:val="28"/>
          <w:szCs w:val="28"/>
        </w:rPr>
        <w:t xml:space="preserve">egment incommercial </w:t>
      </w:r>
      <w:r w:rsidR="003175A2" w:rsidRPr="00B30A3D">
        <w:rPr>
          <w:rFonts w:ascii="Arial" w:eastAsiaTheme="majorEastAsia" w:hAnsi="Arial" w:cs="Arial"/>
          <w:i/>
          <w:sz w:val="28"/>
          <w:szCs w:val="28"/>
        </w:rPr>
        <w:t xml:space="preserve">credit </w:t>
      </w:r>
      <w:r w:rsidR="00D37BF6" w:rsidRPr="00B30A3D">
        <w:rPr>
          <w:rFonts w:ascii="Arial" w:eastAsiaTheme="majorEastAsia" w:hAnsi="Arial" w:cs="Arial"/>
          <w:i/>
          <w:sz w:val="28"/>
          <w:szCs w:val="28"/>
        </w:rPr>
        <w:t>with fastest growth and</w:t>
      </w:r>
      <w:r w:rsidRPr="00B30A3D">
        <w:rPr>
          <w:rFonts w:ascii="Arial" w:eastAsiaTheme="majorEastAsia" w:hAnsi="Arial" w:cs="Arial"/>
          <w:i/>
          <w:sz w:val="28"/>
          <w:szCs w:val="28"/>
        </w:rPr>
        <w:t xml:space="preserve">relatively </w:t>
      </w:r>
      <w:r w:rsidR="00D37BF6" w:rsidRPr="00B30A3D">
        <w:rPr>
          <w:rFonts w:ascii="Arial" w:eastAsiaTheme="majorEastAsia" w:hAnsi="Arial" w:cs="Arial"/>
          <w:i/>
          <w:sz w:val="28"/>
          <w:szCs w:val="28"/>
        </w:rPr>
        <w:t xml:space="preserve">low and </w:t>
      </w:r>
      <w:r w:rsidRPr="00B30A3D">
        <w:rPr>
          <w:rFonts w:ascii="Arial" w:eastAsiaTheme="majorEastAsia" w:hAnsi="Arial" w:cs="Arial"/>
          <w:i/>
          <w:sz w:val="28"/>
          <w:szCs w:val="28"/>
        </w:rPr>
        <w:t xml:space="preserve">stable NPAs </w:t>
      </w:r>
    </w:p>
    <w:p w:rsidR="000830FA" w:rsidRDefault="00E6350B" w:rsidP="00050E43">
      <w:pPr>
        <w:jc w:val="both"/>
        <w:rPr>
          <w:rFonts w:ascii="Arial" w:hAnsi="Arial" w:cs="Arial"/>
          <w:sz w:val="20"/>
          <w:szCs w:val="20"/>
        </w:rPr>
      </w:pPr>
      <w:r w:rsidRPr="00C819D6">
        <w:rPr>
          <w:rFonts w:ascii="Arial" w:hAnsi="Arial" w:cs="Arial"/>
          <w:b/>
          <w:sz w:val="20"/>
          <w:szCs w:val="20"/>
        </w:rPr>
        <w:t xml:space="preserve">Mumbai, </w:t>
      </w:r>
      <w:r w:rsidR="00BC6D34" w:rsidRPr="00C819D6">
        <w:rPr>
          <w:rFonts w:ascii="Arial" w:hAnsi="Arial" w:cs="Arial"/>
          <w:b/>
          <w:sz w:val="20"/>
          <w:szCs w:val="20"/>
        </w:rPr>
        <w:t>12</w:t>
      </w:r>
      <w:r w:rsidR="00BC6D34" w:rsidRPr="00C819D6">
        <w:rPr>
          <w:rFonts w:ascii="Arial" w:hAnsi="Arial" w:cs="Arial"/>
          <w:b/>
          <w:sz w:val="20"/>
          <w:szCs w:val="20"/>
          <w:vertAlign w:val="superscript"/>
        </w:rPr>
        <w:t>th</w:t>
      </w:r>
      <w:r w:rsidR="00BC6D34" w:rsidRPr="00C819D6">
        <w:rPr>
          <w:rFonts w:ascii="Arial" w:hAnsi="Arial" w:cs="Arial"/>
          <w:b/>
          <w:sz w:val="20"/>
          <w:szCs w:val="20"/>
        </w:rPr>
        <w:t xml:space="preserve"> March 2018</w:t>
      </w:r>
      <w:r w:rsidRPr="00C819D6">
        <w:rPr>
          <w:rFonts w:ascii="Arial" w:hAnsi="Arial" w:cs="Arial"/>
          <w:sz w:val="20"/>
          <w:szCs w:val="20"/>
        </w:rPr>
        <w:t>:</w:t>
      </w:r>
      <w:r w:rsidR="00FB7210" w:rsidRPr="00C819D6">
        <w:rPr>
          <w:rFonts w:ascii="Arial" w:hAnsi="Arial" w:cs="Arial"/>
          <w:sz w:val="20"/>
          <w:szCs w:val="20"/>
        </w:rPr>
        <w:t>SIDBI in association with TransUnion CIBIL launched “MSME Pulse”- a quarterly report on MSME credit activity</w:t>
      </w:r>
      <w:r w:rsidR="000C2145">
        <w:rPr>
          <w:rFonts w:ascii="Arial" w:hAnsi="Arial" w:cs="Arial"/>
          <w:sz w:val="20"/>
          <w:szCs w:val="20"/>
        </w:rPr>
        <w:t xml:space="preserve">, for </w:t>
      </w:r>
      <w:r w:rsidR="000C2145" w:rsidRPr="00C819D6">
        <w:rPr>
          <w:rFonts w:ascii="Arial" w:hAnsi="Arial" w:cs="Arial"/>
          <w:sz w:val="20"/>
          <w:szCs w:val="20"/>
        </w:rPr>
        <w:t>closely track</w:t>
      </w:r>
      <w:r w:rsidR="000C2145">
        <w:rPr>
          <w:rFonts w:ascii="Arial" w:hAnsi="Arial" w:cs="Arial"/>
          <w:sz w:val="20"/>
          <w:szCs w:val="20"/>
        </w:rPr>
        <w:t xml:space="preserve">ing and </w:t>
      </w:r>
      <w:r w:rsidR="000C2145" w:rsidRPr="00C819D6">
        <w:rPr>
          <w:rFonts w:ascii="Arial" w:hAnsi="Arial" w:cs="Arial"/>
          <w:sz w:val="20"/>
          <w:szCs w:val="20"/>
        </w:rPr>
        <w:t>monitor</w:t>
      </w:r>
      <w:r w:rsidR="000C2145">
        <w:rPr>
          <w:rFonts w:ascii="Arial" w:hAnsi="Arial" w:cs="Arial"/>
          <w:sz w:val="20"/>
          <w:szCs w:val="20"/>
        </w:rPr>
        <w:t xml:space="preserve">ing the MSME </w:t>
      </w:r>
      <w:r w:rsidR="00634C3A">
        <w:rPr>
          <w:rFonts w:ascii="Arial" w:hAnsi="Arial" w:cs="Arial"/>
          <w:sz w:val="20"/>
          <w:szCs w:val="20"/>
        </w:rPr>
        <w:t>s</w:t>
      </w:r>
      <w:r w:rsidR="000C2145">
        <w:rPr>
          <w:rFonts w:ascii="Arial" w:hAnsi="Arial" w:cs="Arial"/>
          <w:sz w:val="20"/>
          <w:szCs w:val="20"/>
        </w:rPr>
        <w:t xml:space="preserve">egment </w:t>
      </w:r>
      <w:r w:rsidR="00FB7210" w:rsidRPr="00C819D6">
        <w:rPr>
          <w:rFonts w:ascii="Arial" w:hAnsi="Arial" w:cs="Arial"/>
          <w:sz w:val="20"/>
          <w:szCs w:val="20"/>
        </w:rPr>
        <w:t xml:space="preserve">in </w:t>
      </w:r>
      <w:r w:rsidR="000C2145">
        <w:rPr>
          <w:rFonts w:ascii="Arial" w:hAnsi="Arial" w:cs="Arial"/>
          <w:sz w:val="20"/>
          <w:szCs w:val="20"/>
        </w:rPr>
        <w:t xml:space="preserve">the </w:t>
      </w:r>
      <w:r w:rsidR="00FB7210" w:rsidRPr="00C819D6">
        <w:rPr>
          <w:rFonts w:ascii="Arial" w:hAnsi="Arial" w:cs="Arial"/>
          <w:sz w:val="20"/>
          <w:szCs w:val="20"/>
        </w:rPr>
        <w:t>country. Th</w:t>
      </w:r>
      <w:r w:rsidR="000C2145">
        <w:rPr>
          <w:rFonts w:ascii="Arial" w:hAnsi="Arial" w:cs="Arial"/>
          <w:sz w:val="20"/>
          <w:szCs w:val="20"/>
        </w:rPr>
        <w:t>e</w:t>
      </w:r>
      <w:r w:rsidR="00FB7210" w:rsidRPr="00C819D6">
        <w:rPr>
          <w:rFonts w:ascii="Arial" w:hAnsi="Arial" w:cs="Arial"/>
          <w:sz w:val="20"/>
          <w:szCs w:val="20"/>
        </w:rPr>
        <w:t xml:space="preserve"> report is based on a study done on over 5 Million active MSMEs </w:t>
      </w:r>
      <w:r w:rsidR="000C2145">
        <w:rPr>
          <w:rFonts w:ascii="Arial" w:hAnsi="Arial" w:cs="Arial"/>
          <w:sz w:val="20"/>
          <w:szCs w:val="20"/>
        </w:rPr>
        <w:t xml:space="preserve">who </w:t>
      </w:r>
      <w:r w:rsidR="00FB7210" w:rsidRPr="00C819D6">
        <w:rPr>
          <w:rFonts w:ascii="Arial" w:hAnsi="Arial" w:cs="Arial"/>
          <w:sz w:val="20"/>
          <w:szCs w:val="20"/>
        </w:rPr>
        <w:t xml:space="preserve">have </w:t>
      </w:r>
      <w:r w:rsidR="000C2145">
        <w:rPr>
          <w:rFonts w:ascii="Arial" w:hAnsi="Arial" w:cs="Arial"/>
          <w:sz w:val="20"/>
          <w:szCs w:val="20"/>
        </w:rPr>
        <w:t>a</w:t>
      </w:r>
      <w:r w:rsidR="00FB7210" w:rsidRPr="00C819D6">
        <w:rPr>
          <w:rFonts w:ascii="Arial" w:hAnsi="Arial" w:cs="Arial"/>
          <w:sz w:val="20"/>
          <w:szCs w:val="20"/>
        </w:rPr>
        <w:t>ccess to formal credit, with live credit facilities in the Indian banking system.</w:t>
      </w:r>
    </w:p>
    <w:p w:rsidR="000830FA" w:rsidRDefault="000830FA" w:rsidP="000830FA">
      <w:pPr>
        <w:spacing w:after="0" w:line="240" w:lineRule="auto"/>
        <w:jc w:val="both"/>
        <w:rPr>
          <w:rFonts w:ascii="Arial" w:hAnsi="Arial" w:cs="Arial"/>
          <w:sz w:val="20"/>
          <w:szCs w:val="20"/>
        </w:rPr>
      </w:pPr>
      <w:r w:rsidRPr="00C819D6">
        <w:rPr>
          <w:rFonts w:ascii="Arial" w:hAnsi="Arial" w:cs="Arial"/>
          <w:sz w:val="20"/>
          <w:szCs w:val="20"/>
        </w:rPr>
        <w:t>Micro, Small and Medium Enterprises (MSME) sector is</w:t>
      </w:r>
      <w:r>
        <w:rPr>
          <w:rFonts w:ascii="Arial" w:hAnsi="Arial" w:cs="Arial"/>
          <w:sz w:val="20"/>
          <w:szCs w:val="20"/>
        </w:rPr>
        <w:t xml:space="preserve"> the most </w:t>
      </w:r>
      <w:r w:rsidRPr="00C819D6">
        <w:rPr>
          <w:rFonts w:ascii="Arial" w:hAnsi="Arial" w:cs="Arial"/>
          <w:sz w:val="20"/>
          <w:szCs w:val="20"/>
        </w:rPr>
        <w:t>vibrant and dynamic sector promising high growth potential for the Indian economy. There are close to 51 Million MSME units in the country that employ about 117 Million people across various sectors, constituting 40% of the workforce</w:t>
      </w:r>
      <w:r w:rsidRPr="00C819D6">
        <w:rPr>
          <w:rFonts w:ascii="Arial" w:hAnsi="Arial" w:cs="Arial"/>
          <w:sz w:val="20"/>
          <w:szCs w:val="20"/>
          <w:vertAlign w:val="superscript"/>
        </w:rPr>
        <w:t>.</w:t>
      </w:r>
      <w:r w:rsidRPr="00C819D6">
        <w:rPr>
          <w:rFonts w:ascii="Arial" w:hAnsi="Arial" w:cs="Arial"/>
          <w:sz w:val="20"/>
          <w:szCs w:val="20"/>
        </w:rPr>
        <w:t xml:space="preserve"> The MSME share to the total G</w:t>
      </w:r>
      <w:r>
        <w:rPr>
          <w:rFonts w:ascii="Arial" w:hAnsi="Arial" w:cs="Arial"/>
          <w:sz w:val="20"/>
          <w:szCs w:val="20"/>
        </w:rPr>
        <w:t xml:space="preserve">ross </w:t>
      </w:r>
      <w:r w:rsidRPr="00C819D6">
        <w:rPr>
          <w:rFonts w:ascii="Arial" w:hAnsi="Arial" w:cs="Arial"/>
          <w:sz w:val="20"/>
          <w:szCs w:val="20"/>
        </w:rPr>
        <w:t>D</w:t>
      </w:r>
      <w:r>
        <w:rPr>
          <w:rFonts w:ascii="Arial" w:hAnsi="Arial" w:cs="Arial"/>
          <w:sz w:val="20"/>
          <w:szCs w:val="20"/>
        </w:rPr>
        <w:t xml:space="preserve">omestic </w:t>
      </w:r>
      <w:r w:rsidRPr="00C819D6">
        <w:rPr>
          <w:rFonts w:ascii="Arial" w:hAnsi="Arial" w:cs="Arial"/>
          <w:sz w:val="20"/>
          <w:szCs w:val="20"/>
        </w:rPr>
        <w:t>P</w:t>
      </w:r>
      <w:r>
        <w:rPr>
          <w:rFonts w:ascii="Arial" w:hAnsi="Arial" w:cs="Arial"/>
          <w:sz w:val="20"/>
          <w:szCs w:val="20"/>
        </w:rPr>
        <w:t>roduct (GDP)</w:t>
      </w:r>
      <w:r w:rsidRPr="00C819D6">
        <w:rPr>
          <w:rFonts w:ascii="Arial" w:hAnsi="Arial" w:cs="Arial"/>
          <w:sz w:val="20"/>
          <w:szCs w:val="20"/>
        </w:rPr>
        <w:t xml:space="preserve"> is about 37% and they also contribute to 43% of exports based on the data maintained by Ministry of Commerce. </w:t>
      </w:r>
      <w:r>
        <w:rPr>
          <w:rFonts w:ascii="Arial" w:hAnsi="Arial" w:cs="Arial"/>
          <w:sz w:val="20"/>
          <w:szCs w:val="20"/>
        </w:rPr>
        <w:t>In view of the critical nature of this segment, c</w:t>
      </w:r>
      <w:r w:rsidRPr="00C819D6">
        <w:rPr>
          <w:rFonts w:ascii="Arial" w:hAnsi="Arial" w:cs="Arial"/>
          <w:sz w:val="20"/>
          <w:szCs w:val="20"/>
        </w:rPr>
        <w:t xml:space="preserve">areful monitoring of the health of MSME portfolios regularly and frequently is vital for tracking the efficacy of policy, banking and business decisions while ensuring timely intervention for controlling potential losses. </w:t>
      </w:r>
    </w:p>
    <w:p w:rsidR="000830FA" w:rsidRDefault="000830FA" w:rsidP="00AC362B">
      <w:pPr>
        <w:spacing w:line="240" w:lineRule="auto"/>
        <w:jc w:val="both"/>
        <w:rPr>
          <w:rFonts w:ascii="Arial" w:hAnsi="Arial" w:cs="Arial"/>
          <w:sz w:val="20"/>
          <w:szCs w:val="20"/>
        </w:rPr>
      </w:pPr>
    </w:p>
    <w:p w:rsidR="00FB7210" w:rsidRDefault="000576F2" w:rsidP="00AC362B">
      <w:pPr>
        <w:spacing w:line="240" w:lineRule="auto"/>
        <w:jc w:val="both"/>
        <w:rPr>
          <w:rFonts w:ascii="Arial" w:hAnsi="Arial" w:cs="Arial"/>
          <w:sz w:val="20"/>
          <w:szCs w:val="20"/>
        </w:rPr>
      </w:pPr>
      <w:r>
        <w:rPr>
          <w:rFonts w:ascii="Arial" w:hAnsi="Arial" w:cs="Arial"/>
          <w:sz w:val="20"/>
          <w:szCs w:val="20"/>
        </w:rPr>
        <w:t>The key findings of the study reveal that while t</w:t>
      </w:r>
      <w:r w:rsidRPr="00050E43">
        <w:rPr>
          <w:rFonts w:ascii="Arial" w:hAnsi="Arial" w:cs="Arial"/>
          <w:sz w:val="20"/>
          <w:szCs w:val="20"/>
        </w:rPr>
        <w:t xml:space="preserve">he overall NPA rate remained range bound </w:t>
      </w:r>
      <w:r w:rsidR="00083FA5">
        <w:rPr>
          <w:rFonts w:ascii="Arial" w:hAnsi="Arial" w:cs="Arial"/>
          <w:sz w:val="20"/>
          <w:szCs w:val="20"/>
        </w:rPr>
        <w:t>from</w:t>
      </w:r>
      <w:r w:rsidRPr="00050E43">
        <w:rPr>
          <w:rFonts w:ascii="Arial" w:hAnsi="Arial" w:cs="Arial"/>
          <w:sz w:val="20"/>
          <w:szCs w:val="20"/>
        </w:rPr>
        <w:t xml:space="preserve"> 8% to 11% in the MSME </w:t>
      </w:r>
      <w:r w:rsidR="00083FA5">
        <w:rPr>
          <w:rFonts w:ascii="Arial" w:hAnsi="Arial" w:cs="Arial"/>
          <w:sz w:val="20"/>
          <w:szCs w:val="20"/>
        </w:rPr>
        <w:t>segment during the last 2 years,</w:t>
      </w:r>
      <w:r w:rsidRPr="00050E43">
        <w:rPr>
          <w:rFonts w:ascii="Arial" w:hAnsi="Arial" w:cs="Arial"/>
          <w:sz w:val="20"/>
          <w:szCs w:val="20"/>
        </w:rPr>
        <w:t xml:space="preserve"> the NPA rate of large corporates has increased significantly from 7.9% to 16.9% during the same period. </w:t>
      </w:r>
      <w:r w:rsidR="00F87744" w:rsidRPr="00050E43">
        <w:rPr>
          <w:rFonts w:ascii="Arial" w:hAnsi="Arial" w:cs="Arial"/>
          <w:sz w:val="20"/>
          <w:szCs w:val="20"/>
        </w:rPr>
        <w:t xml:space="preserve">Further, there has been a significant increase in the new borrowers entering the formal credit sector which has accelerated from ~2.7 lakhs for the </w:t>
      </w:r>
      <w:r w:rsidR="000830FA" w:rsidRPr="00050E43">
        <w:rPr>
          <w:rFonts w:ascii="Arial" w:hAnsi="Arial" w:cs="Arial"/>
          <w:sz w:val="20"/>
          <w:szCs w:val="20"/>
        </w:rPr>
        <w:t>six-month</w:t>
      </w:r>
      <w:r w:rsidR="00F87744" w:rsidRPr="00050E43">
        <w:rPr>
          <w:rFonts w:ascii="Arial" w:hAnsi="Arial" w:cs="Arial"/>
          <w:sz w:val="20"/>
          <w:szCs w:val="20"/>
        </w:rPr>
        <w:t xml:space="preserve"> period of Jan to Jun 2016</w:t>
      </w:r>
      <w:r w:rsidR="00613E09" w:rsidRPr="00050E43">
        <w:rPr>
          <w:rFonts w:ascii="Arial" w:hAnsi="Arial" w:cs="Arial"/>
          <w:sz w:val="20"/>
          <w:szCs w:val="20"/>
        </w:rPr>
        <w:t xml:space="preserve"> to ~4 lakhs in Jul to Dec 2017</w:t>
      </w:r>
      <w:r w:rsidR="001836B1">
        <w:rPr>
          <w:rFonts w:ascii="Arial" w:hAnsi="Arial" w:cs="Arial"/>
          <w:sz w:val="20"/>
          <w:szCs w:val="20"/>
        </w:rPr>
        <w:t>,</w:t>
      </w:r>
      <w:r w:rsidR="00613E09" w:rsidRPr="00050E43">
        <w:rPr>
          <w:rFonts w:ascii="Arial" w:hAnsi="Arial" w:cs="Arial"/>
          <w:sz w:val="20"/>
          <w:szCs w:val="20"/>
        </w:rPr>
        <w:t xml:space="preserve"> indicating fresh investments being made. The report</w:t>
      </w:r>
      <w:r w:rsidR="00753450" w:rsidRPr="00050E43">
        <w:rPr>
          <w:rFonts w:ascii="Arial" w:hAnsi="Arial" w:cs="Arial"/>
          <w:sz w:val="20"/>
          <w:szCs w:val="20"/>
        </w:rPr>
        <w:t xml:space="preserve">, while </w:t>
      </w:r>
      <w:r w:rsidR="000830FA" w:rsidRPr="00050E43">
        <w:rPr>
          <w:rFonts w:ascii="Arial" w:hAnsi="Arial" w:cs="Arial"/>
          <w:sz w:val="20"/>
          <w:szCs w:val="20"/>
        </w:rPr>
        <w:t>giving an</w:t>
      </w:r>
      <w:r w:rsidR="00753450" w:rsidRPr="00050E43">
        <w:rPr>
          <w:rFonts w:ascii="Arial" w:hAnsi="Arial" w:cs="Arial"/>
          <w:sz w:val="20"/>
          <w:szCs w:val="20"/>
        </w:rPr>
        <w:t xml:space="preserve"> insight on the prominent MSME sectors for the lending institutions from a risk and profitability perspective, also presents the effects of dual economic disruptions o</w:t>
      </w:r>
      <w:r w:rsidR="00214BF0">
        <w:rPr>
          <w:rFonts w:ascii="Arial" w:hAnsi="Arial" w:cs="Arial"/>
          <w:sz w:val="20"/>
          <w:szCs w:val="20"/>
        </w:rPr>
        <w:t>f demonetization and GST along with</w:t>
      </w:r>
      <w:r w:rsidR="00753450" w:rsidRPr="00050E43">
        <w:rPr>
          <w:rFonts w:ascii="Arial" w:hAnsi="Arial" w:cs="Arial"/>
          <w:sz w:val="20"/>
          <w:szCs w:val="20"/>
        </w:rPr>
        <w:t xml:space="preserve"> the impact of relief measures announced by RBI for MSMEs registered under GST.   </w:t>
      </w:r>
    </w:p>
    <w:p w:rsidR="00EB0D2C" w:rsidRPr="00EB0D2C" w:rsidRDefault="000C2145" w:rsidP="00444197">
      <w:pPr>
        <w:jc w:val="both"/>
        <w:rPr>
          <w:rFonts w:ascii="Calibri" w:hAnsi="Calibri"/>
          <w:color w:val="1F497D"/>
        </w:rPr>
      </w:pPr>
      <w:r w:rsidRPr="00C819D6">
        <w:rPr>
          <w:rFonts w:ascii="Arial" w:hAnsi="Arial" w:cs="Arial"/>
          <w:sz w:val="20"/>
          <w:szCs w:val="20"/>
        </w:rPr>
        <w:t>Speaking at the launch, Shri N S Vishwanathan, Deputy Govern</w:t>
      </w:r>
      <w:r w:rsidR="00176EA7">
        <w:rPr>
          <w:rFonts w:ascii="Arial" w:hAnsi="Arial" w:cs="Arial"/>
          <w:sz w:val="20"/>
          <w:szCs w:val="20"/>
        </w:rPr>
        <w:t xml:space="preserve">or, Reserve Bank of India said, </w:t>
      </w:r>
      <w:r w:rsidR="00EB0D2C" w:rsidRPr="00EB0D2C">
        <w:rPr>
          <w:rFonts w:ascii="Arial" w:hAnsi="Arial" w:cs="Arial"/>
          <w:sz w:val="20"/>
          <w:szCs w:val="20"/>
        </w:rPr>
        <w:t>“Comprehensible information is the need of the hour. The MSME sector accounts for 31% of the GDP; providing employment to over 111 million people. Bringing every element of this sector to the formal fold as such is imperative. This is where well-analysed data plays an important and significant role. The MSME Pulse report will help in providing</w:t>
      </w:r>
      <w:r w:rsidR="00272A2D" w:rsidRPr="00EB0D2C">
        <w:rPr>
          <w:rFonts w:ascii="Arial" w:hAnsi="Arial" w:cs="Arial"/>
          <w:sz w:val="20"/>
          <w:szCs w:val="20"/>
        </w:rPr>
        <w:t> fresh</w:t>
      </w:r>
      <w:r w:rsidR="00EB0D2C" w:rsidRPr="00EB0D2C">
        <w:rPr>
          <w:rFonts w:ascii="Arial" w:hAnsi="Arial" w:cs="Arial"/>
          <w:sz w:val="20"/>
          <w:szCs w:val="20"/>
        </w:rPr>
        <w:t xml:space="preserve"> insights about the sector. The joint effort by SIDBI and TransUnion CIBIL is commendable and will bring the MSME sector into the formal fold in a big way.”</w:t>
      </w:r>
    </w:p>
    <w:p w:rsidR="00D5568D" w:rsidRPr="00C819D6" w:rsidRDefault="003914C7" w:rsidP="00D5568D">
      <w:pPr>
        <w:jc w:val="both"/>
        <w:rPr>
          <w:rFonts w:ascii="Arial" w:hAnsi="Arial" w:cs="Arial"/>
        </w:rPr>
      </w:pPr>
      <w:r w:rsidRPr="003914C7">
        <w:rPr>
          <w:rFonts w:ascii="Arial" w:hAnsi="Arial" w:cs="Arial"/>
          <w:sz w:val="20"/>
          <w:szCs w:val="20"/>
        </w:rPr>
        <w:t xml:space="preserve">Shri Mohammad Mustafa, Chairman and Managing Director, SIDBI in his address </w:t>
      </w:r>
      <w:r w:rsidRPr="007A43A5">
        <w:rPr>
          <w:rFonts w:ascii="Arial" w:hAnsi="Arial" w:cs="Arial"/>
          <w:sz w:val="20"/>
          <w:szCs w:val="20"/>
        </w:rPr>
        <w:t>said</w:t>
      </w:r>
      <w:r w:rsidR="00AC3D11" w:rsidRPr="007A43A5">
        <w:rPr>
          <w:rFonts w:ascii="Arial" w:hAnsi="Arial" w:cs="Arial"/>
          <w:i/>
          <w:sz w:val="20"/>
          <w:szCs w:val="20"/>
        </w:rPr>
        <w:t xml:space="preserve">“Information is key to decision making and if it is available at the right time, meaningful </w:t>
      </w:r>
      <w:r w:rsidR="00B24DBD" w:rsidRPr="007A43A5">
        <w:rPr>
          <w:rFonts w:ascii="Arial" w:hAnsi="Arial" w:cs="Arial"/>
          <w:i/>
          <w:sz w:val="20"/>
          <w:szCs w:val="20"/>
        </w:rPr>
        <w:t xml:space="preserve">engagements and </w:t>
      </w:r>
      <w:r w:rsidR="00AC3D11" w:rsidRPr="007A43A5">
        <w:rPr>
          <w:rFonts w:ascii="Arial" w:hAnsi="Arial" w:cs="Arial"/>
          <w:i/>
          <w:sz w:val="20"/>
          <w:szCs w:val="20"/>
        </w:rPr>
        <w:t xml:space="preserve">interventions can be made. </w:t>
      </w:r>
      <w:r w:rsidR="00B24DBD" w:rsidRPr="007A43A5">
        <w:rPr>
          <w:rFonts w:ascii="Arial" w:hAnsi="Arial" w:cs="Arial"/>
          <w:i/>
          <w:sz w:val="20"/>
          <w:szCs w:val="20"/>
        </w:rPr>
        <w:t xml:space="preserve">SIDBI firmly believes that economic tools are very meaningful and offer independent outside assessment hence crucial for supporting policy decisions. </w:t>
      </w:r>
      <w:r w:rsidR="00AC3D11" w:rsidRPr="007A43A5">
        <w:rPr>
          <w:rFonts w:ascii="Arial" w:hAnsi="Arial" w:cs="Arial"/>
          <w:i/>
          <w:sz w:val="20"/>
          <w:szCs w:val="20"/>
        </w:rPr>
        <w:t>With the launch of MSME Pulse</w:t>
      </w:r>
      <w:r w:rsidR="00AB7EF7" w:rsidRPr="007A43A5">
        <w:rPr>
          <w:rFonts w:ascii="Arial" w:hAnsi="Arial" w:cs="Arial"/>
          <w:i/>
          <w:sz w:val="20"/>
          <w:szCs w:val="20"/>
        </w:rPr>
        <w:t>,</w:t>
      </w:r>
      <w:r w:rsidR="00AC3D11" w:rsidRPr="007A43A5">
        <w:rPr>
          <w:rFonts w:ascii="Arial" w:hAnsi="Arial" w:cs="Arial"/>
          <w:i/>
          <w:sz w:val="20"/>
          <w:szCs w:val="20"/>
        </w:rPr>
        <w:t xml:space="preserve"> SIDBI and TransUnion CIBIL</w:t>
      </w:r>
      <w:r w:rsidR="00177E3E" w:rsidRPr="007A43A5">
        <w:rPr>
          <w:rFonts w:ascii="Arial" w:hAnsi="Arial" w:cs="Arial"/>
          <w:i/>
          <w:sz w:val="20"/>
          <w:szCs w:val="20"/>
        </w:rPr>
        <w:t xml:space="preserve"> aim to provide the credit industry with trends and insights for making </w:t>
      </w:r>
      <w:r w:rsidR="00C86053" w:rsidRPr="007A43A5">
        <w:rPr>
          <w:rFonts w:ascii="Arial" w:hAnsi="Arial" w:cs="Arial"/>
          <w:i/>
          <w:sz w:val="20"/>
          <w:szCs w:val="20"/>
        </w:rPr>
        <w:t xml:space="preserve">information </w:t>
      </w:r>
      <w:r w:rsidR="00177E3E" w:rsidRPr="007A43A5">
        <w:rPr>
          <w:rFonts w:ascii="Arial" w:hAnsi="Arial" w:cs="Arial"/>
          <w:i/>
          <w:sz w:val="20"/>
          <w:szCs w:val="20"/>
        </w:rPr>
        <w:t>oriented business decisions</w:t>
      </w:r>
      <w:r w:rsidRPr="007A43A5">
        <w:rPr>
          <w:rFonts w:ascii="Arial" w:hAnsi="Arial" w:cs="Arial"/>
          <w:i/>
          <w:sz w:val="20"/>
          <w:szCs w:val="20"/>
        </w:rPr>
        <w:t xml:space="preserve">.” </w:t>
      </w:r>
      <w:r w:rsidR="00A46517" w:rsidRPr="007A43A5">
        <w:rPr>
          <w:rFonts w:ascii="Arial" w:hAnsi="Arial" w:cs="Arial"/>
          <w:i/>
          <w:sz w:val="20"/>
          <w:szCs w:val="20"/>
        </w:rPr>
        <w:t>While highlighting the present state of formal lending to this segment, he further added that “The</w:t>
      </w:r>
      <w:r w:rsidR="00D5568D" w:rsidRPr="007A43A5">
        <w:rPr>
          <w:rFonts w:ascii="Arial" w:hAnsi="Arial" w:cs="Arial"/>
          <w:i/>
          <w:sz w:val="20"/>
          <w:szCs w:val="20"/>
        </w:rPr>
        <w:t xml:space="preserve"> MSME sector remains significantly under-penetrated on the organized lending front. Out of the 51 Million MSME units, only 5 Million units have access to formal credit. Digital push coupled with GST implementation will push the MSMEs towards higher formalization and hence credit coverage.”</w:t>
      </w:r>
    </w:p>
    <w:p w:rsidR="00BD396E" w:rsidRPr="00C819D6" w:rsidRDefault="00AA4960" w:rsidP="00BD396E">
      <w:pPr>
        <w:spacing w:line="240" w:lineRule="auto"/>
        <w:jc w:val="both"/>
        <w:rPr>
          <w:rFonts w:ascii="Arial" w:hAnsi="Arial" w:cs="Arial"/>
          <w:b/>
          <w:sz w:val="20"/>
          <w:szCs w:val="20"/>
        </w:rPr>
      </w:pPr>
      <w:r w:rsidRPr="00C819D6">
        <w:rPr>
          <w:rFonts w:ascii="Arial" w:hAnsi="Arial" w:cs="Arial"/>
          <w:sz w:val="20"/>
          <w:szCs w:val="20"/>
        </w:rPr>
        <w:lastRenderedPageBreak/>
        <w:t>Mr. Satish Pillai, Managing Director and CEO, TransUnion CIBIL e</w:t>
      </w:r>
      <w:r w:rsidR="00634C3A">
        <w:rPr>
          <w:rFonts w:ascii="Arial" w:hAnsi="Arial" w:cs="Arial"/>
          <w:sz w:val="20"/>
          <w:szCs w:val="20"/>
        </w:rPr>
        <w:t xml:space="preserve">mphasised that </w:t>
      </w:r>
      <w:r w:rsidRPr="00C819D6">
        <w:rPr>
          <w:rFonts w:ascii="Arial" w:hAnsi="Arial" w:cs="Arial"/>
          <w:i/>
          <w:sz w:val="20"/>
          <w:szCs w:val="20"/>
        </w:rPr>
        <w:t xml:space="preserve">“MSME segment, if </w:t>
      </w:r>
      <w:r w:rsidRPr="00C819D6">
        <w:rPr>
          <w:rFonts w:ascii="Arial" w:hAnsi="Arial" w:cs="Arial"/>
          <w:i/>
          <w:sz w:val="20"/>
          <w:szCs w:val="20"/>
        </w:rPr>
        <w:lastRenderedPageBreak/>
        <w:t xml:space="preserve">targeted and serviced appropriately, can grow to have substantial share of Indian bank's commercial </w:t>
      </w:r>
      <w:r w:rsidRPr="00C819D6">
        <w:rPr>
          <w:rFonts w:ascii="Arial" w:hAnsi="Arial" w:cs="Arial"/>
          <w:i/>
          <w:sz w:val="20"/>
          <w:szCs w:val="20"/>
        </w:rPr>
        <w:lastRenderedPageBreak/>
        <w:t xml:space="preserve">balance sheets and profits in the next 3-4 years.  A triumvirate of stable risk, high growth and credit </w:t>
      </w:r>
      <w:r w:rsidRPr="00C819D6">
        <w:rPr>
          <w:rFonts w:ascii="Arial" w:hAnsi="Arial" w:cs="Arial"/>
          <w:i/>
          <w:sz w:val="20"/>
          <w:szCs w:val="20"/>
        </w:rPr>
        <w:lastRenderedPageBreak/>
        <w:t>spreads along with progressive regulatory support will prove catalyst for sustainable growth.</w:t>
      </w:r>
      <w:r w:rsidR="00BD396E" w:rsidRPr="00C819D6">
        <w:rPr>
          <w:rFonts w:ascii="Arial" w:hAnsi="Arial" w:cs="Arial"/>
          <w:i/>
          <w:sz w:val="20"/>
          <w:szCs w:val="20"/>
        </w:rPr>
        <w:t xml:space="preserve"> This </w:t>
      </w:r>
      <w:r w:rsidR="00BD396E" w:rsidRPr="00C819D6">
        <w:rPr>
          <w:rFonts w:ascii="Arial" w:hAnsi="Arial" w:cs="Arial"/>
          <w:i/>
          <w:sz w:val="20"/>
          <w:szCs w:val="20"/>
        </w:rPr>
        <w:lastRenderedPageBreak/>
        <w:t xml:space="preserve">study will help provide deeper understanding of qualitative and quantitative aspects of MSME lending, </w:t>
      </w:r>
      <w:r w:rsidR="00BD396E" w:rsidRPr="00C819D6">
        <w:rPr>
          <w:rFonts w:ascii="Arial" w:hAnsi="Arial" w:cs="Arial"/>
          <w:i/>
          <w:sz w:val="20"/>
          <w:szCs w:val="20"/>
        </w:rPr>
        <w:lastRenderedPageBreak/>
        <w:t xml:space="preserve">across </w:t>
      </w:r>
      <w:r w:rsidR="00F60BF5" w:rsidRPr="00F60BF5">
        <w:rPr>
          <w:rFonts w:ascii="Arial" w:hAnsi="Arial" w:cs="Arial"/>
          <w:noProof/>
          <w:sz w:val="20"/>
          <w:szCs w:val="20"/>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8pt;margin-top:30.35pt;width:501.65pt;height:649.5pt;z-index:25165926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">
            <v:textbox>
              <w:txbxContent>
                <w:p w:rsidR="009A4F89" w:rsidRPr="00AA4960" w:rsidRDefault="009A4F89" w:rsidP="009A4F89">
                  <w:pPr>
                    <w:jc w:val="center"/>
                    <w:rPr>
                      <w:rFonts w:ascii="Arial" w:hAnsi="Arial" w:cs="Arial"/>
                      <w:b/>
                      <w:sz w:val="28"/>
                      <w:szCs w:val="28"/>
                    </w:rPr>
                  </w:pPr>
                  <w:r w:rsidRPr="00AA4960">
                    <w:rPr>
                      <w:rFonts w:ascii="Arial" w:hAnsi="Arial" w:cs="Arial"/>
                      <w:b/>
                      <w:sz w:val="28"/>
                      <w:szCs w:val="28"/>
                    </w:rPr>
                    <w:t>MSME Pulse Highlights</w:t>
                  </w:r>
                </w:p>
                <w:p w:rsidR="009A4F89" w:rsidRPr="00376596" w:rsidRDefault="0090352D" w:rsidP="00376596">
                  <w:pPr>
                    <w:pStyle w:val="ListParagraph"/>
                    <w:numPr>
                      <w:ilvl w:val="0"/>
                      <w:numId w:val="10"/>
                    </w:numPr>
                    <w:spacing w:after="0" w:line="240" w:lineRule="auto"/>
                    <w:jc w:val="both"/>
                    <w:rPr>
                      <w:rFonts w:ascii="Arial" w:hAnsi="Arial" w:cs="Arial"/>
                      <w:sz w:val="20"/>
                      <w:szCs w:val="20"/>
                    </w:rPr>
                  </w:pPr>
                  <w:r w:rsidRPr="00376596">
                    <w:rPr>
                      <w:rFonts w:ascii="Arial" w:hAnsi="Arial" w:cs="Arial"/>
                      <w:b/>
                      <w:sz w:val="20"/>
                      <w:szCs w:val="20"/>
                      <w:u w:val="single"/>
                    </w:rPr>
                    <w:t>Fastest growing exposure in Commercial Lending</w:t>
                  </w:r>
                  <w:r w:rsidRPr="00376596">
                    <w:rPr>
                      <w:rFonts w:ascii="Arial" w:hAnsi="Arial" w:cs="Arial"/>
                      <w:sz w:val="20"/>
                      <w:szCs w:val="20"/>
                    </w:rPr>
                    <w:t xml:space="preserve">: </w:t>
                  </w:r>
                  <w:r w:rsidR="009A4F89" w:rsidRPr="00376596">
                    <w:rPr>
                      <w:rFonts w:ascii="Arial" w:hAnsi="Arial" w:cs="Arial"/>
                      <w:sz w:val="20"/>
                      <w:szCs w:val="20"/>
                    </w:rPr>
                    <w:t>Micro (credit exposure less than ₹ 1 Cr</w:t>
                  </w:r>
                  <w:r w:rsidR="00072426">
                    <w:rPr>
                      <w:rFonts w:ascii="Arial" w:hAnsi="Arial" w:cs="Arial"/>
                      <w:sz w:val="20"/>
                      <w:szCs w:val="20"/>
                    </w:rPr>
                    <w:t>ore</w:t>
                  </w:r>
                  <w:r w:rsidR="009A4F89" w:rsidRPr="00376596">
                    <w:rPr>
                      <w:rFonts w:ascii="Arial" w:hAnsi="Arial" w:cs="Arial"/>
                      <w:sz w:val="20"/>
                      <w:szCs w:val="20"/>
                    </w:rPr>
                    <w:t xml:space="preserve">) and SME (₹ 1 </w:t>
                  </w:r>
                  <w:r w:rsidR="00EA5C15">
                    <w:rPr>
                      <w:rFonts w:ascii="Arial" w:hAnsi="Arial" w:cs="Arial"/>
                      <w:sz w:val="20"/>
                      <w:szCs w:val="20"/>
                    </w:rPr>
                    <w:t>Crore</w:t>
                  </w:r>
                  <w:r w:rsidR="009A4F89" w:rsidRPr="00376596">
                    <w:rPr>
                      <w:rFonts w:ascii="Arial" w:hAnsi="Arial" w:cs="Arial"/>
                      <w:sz w:val="20"/>
                      <w:szCs w:val="20"/>
                    </w:rPr>
                    <w:t xml:space="preserve">-25 </w:t>
                  </w:r>
                  <w:r w:rsidR="00EA5C15">
                    <w:rPr>
                      <w:rFonts w:ascii="Arial" w:hAnsi="Arial" w:cs="Arial"/>
                      <w:sz w:val="20"/>
                      <w:szCs w:val="20"/>
                    </w:rPr>
                    <w:t>Crore</w:t>
                  </w:r>
                  <w:r w:rsidR="009A4F89" w:rsidRPr="00376596">
                    <w:rPr>
                      <w:rFonts w:ascii="Arial" w:hAnsi="Arial" w:cs="Arial"/>
                      <w:sz w:val="20"/>
                      <w:szCs w:val="20"/>
                    </w:rPr>
                    <w:t xml:space="preserve">) segments constitute ₹ 11.7 lakh </w:t>
                  </w:r>
                  <w:r w:rsidR="00EA5C15">
                    <w:rPr>
                      <w:rFonts w:ascii="Arial" w:hAnsi="Arial" w:cs="Arial"/>
                      <w:sz w:val="20"/>
                      <w:szCs w:val="20"/>
                    </w:rPr>
                    <w:t>Crorecr</w:t>
                  </w:r>
                  <w:r w:rsidR="009A4F89" w:rsidRPr="00376596">
                    <w:rPr>
                      <w:rFonts w:ascii="Arial" w:hAnsi="Arial" w:cs="Arial"/>
                      <w:sz w:val="20"/>
                      <w:szCs w:val="20"/>
                    </w:rPr>
                    <w:t>edit exposure (23% of commercial credit outstanding) with Y-o-Y growth of 20% and 9% respectively as compared to 4% for Mid (₹ 25 Cr-100 Cr</w:t>
                  </w:r>
                  <w:r w:rsidR="00A63A32">
                    <w:rPr>
                      <w:rFonts w:ascii="Arial" w:hAnsi="Arial" w:cs="Arial"/>
                      <w:sz w:val="20"/>
                      <w:szCs w:val="20"/>
                    </w:rPr>
                    <w:t>ore</w:t>
                  </w:r>
                  <w:r w:rsidR="009A4F89" w:rsidRPr="00376596">
                    <w:rPr>
                      <w:rFonts w:ascii="Arial" w:hAnsi="Arial" w:cs="Arial"/>
                      <w:sz w:val="20"/>
                      <w:szCs w:val="20"/>
                    </w:rPr>
                    <w:t>) and 0.5% for Large (greater than ₹ 100 Cr</w:t>
                  </w:r>
                  <w:r w:rsidR="00A63A32">
                    <w:rPr>
                      <w:rFonts w:ascii="Arial" w:hAnsi="Arial" w:cs="Arial"/>
                      <w:sz w:val="20"/>
                      <w:szCs w:val="20"/>
                    </w:rPr>
                    <w:t>ore</w:t>
                  </w:r>
                  <w:r w:rsidR="009A4F89" w:rsidRPr="00376596">
                    <w:rPr>
                      <w:rFonts w:ascii="Arial" w:hAnsi="Arial" w:cs="Arial"/>
                      <w:sz w:val="20"/>
                      <w:szCs w:val="20"/>
                    </w:rPr>
                    <w:t xml:space="preserve"> exposure) from Dec’16 to Dec’17.</w:t>
                  </w:r>
                </w:p>
                <w:p w:rsidR="00C61D41" w:rsidRPr="00376596" w:rsidRDefault="00C61D41" w:rsidP="00376596">
                  <w:pPr>
                    <w:pStyle w:val="ListParagraph"/>
                    <w:spacing w:after="0" w:line="240" w:lineRule="auto"/>
                    <w:ind w:left="360"/>
                    <w:jc w:val="both"/>
                    <w:rPr>
                      <w:rFonts w:ascii="Arial" w:hAnsi="Arial" w:cs="Arial"/>
                      <w:sz w:val="20"/>
                      <w:szCs w:val="20"/>
                    </w:rPr>
                  </w:pPr>
                </w:p>
                <w:p w:rsidR="009A4F89" w:rsidRPr="00376596" w:rsidRDefault="0090352D" w:rsidP="00376596">
                  <w:pPr>
                    <w:pStyle w:val="ListParagraph"/>
                    <w:numPr>
                      <w:ilvl w:val="0"/>
                      <w:numId w:val="10"/>
                    </w:numPr>
                    <w:spacing w:after="0" w:line="240" w:lineRule="auto"/>
                    <w:jc w:val="both"/>
                    <w:rPr>
                      <w:rFonts w:ascii="Arial" w:hAnsi="Arial" w:cs="Arial"/>
                      <w:sz w:val="20"/>
                      <w:szCs w:val="20"/>
                    </w:rPr>
                  </w:pPr>
                  <w:r w:rsidRPr="00376596">
                    <w:rPr>
                      <w:rFonts w:ascii="Arial" w:hAnsi="Arial" w:cs="Arial"/>
                      <w:b/>
                      <w:sz w:val="20"/>
                      <w:szCs w:val="20"/>
                      <w:u w:val="single"/>
                    </w:rPr>
                    <w:t>Relatively stable asset quality:</w:t>
                  </w:r>
                  <w:r w:rsidR="009A4F89" w:rsidRPr="00376596">
                    <w:rPr>
                      <w:rFonts w:ascii="Arial" w:hAnsi="Arial" w:cs="Arial"/>
                      <w:sz w:val="20"/>
                      <w:szCs w:val="20"/>
                    </w:rPr>
                    <w:t>NPA rates have remained range bound between 9.2% (Dec’16) to 8.8% (Dec’17) for Micro and 11.3% (Dec’16) to 11.2% (Dec’17) for SME segment. In comparison, for Large corporate segment, NPA rates increased from 14.7% (in Dec’16) to 16.9% (in Dec’17). As such, MSME sector exhibited high credit growth and relatively lower cyclical deterioration in asset quality.</w:t>
                  </w:r>
                </w:p>
                <w:p w:rsidR="00C61D41" w:rsidRPr="00376596" w:rsidRDefault="00C61D41" w:rsidP="00376596">
                  <w:pPr>
                    <w:pStyle w:val="ListParagraph"/>
                    <w:spacing w:after="0" w:line="240" w:lineRule="auto"/>
                    <w:ind w:left="360"/>
                    <w:jc w:val="both"/>
                    <w:rPr>
                      <w:rFonts w:ascii="Arial" w:hAnsi="Arial" w:cs="Arial"/>
                      <w:sz w:val="20"/>
                      <w:szCs w:val="20"/>
                    </w:rPr>
                  </w:pPr>
                </w:p>
                <w:p w:rsidR="0090352D" w:rsidRPr="00376596" w:rsidRDefault="0090352D" w:rsidP="00376596">
                  <w:pPr>
                    <w:pStyle w:val="ListParagraph"/>
                    <w:spacing w:after="0" w:line="240" w:lineRule="auto"/>
                    <w:ind w:left="360"/>
                    <w:jc w:val="both"/>
                    <w:rPr>
                      <w:rFonts w:ascii="Arial" w:hAnsi="Arial" w:cs="Arial"/>
                      <w:sz w:val="20"/>
                      <w:szCs w:val="20"/>
                    </w:rPr>
                  </w:pPr>
                  <w:r w:rsidRPr="00376596">
                    <w:rPr>
                      <w:rFonts w:ascii="Arial" w:hAnsi="Arial" w:cs="Arial"/>
                      <w:sz w:val="20"/>
                      <w:szCs w:val="20"/>
                    </w:rPr>
                    <w:t>A deep dive in the quality of portfolio of MSME (less than ₹ 10 Cr</w:t>
                  </w:r>
                  <w:r w:rsidR="00994791">
                    <w:rPr>
                      <w:rFonts w:ascii="Arial" w:hAnsi="Arial" w:cs="Arial"/>
                      <w:sz w:val="20"/>
                      <w:szCs w:val="20"/>
                    </w:rPr>
                    <w:t>ore</w:t>
                  </w:r>
                  <w:r w:rsidRPr="00376596">
                    <w:rPr>
                      <w:rFonts w:ascii="Arial" w:hAnsi="Arial" w:cs="Arial"/>
                      <w:sz w:val="20"/>
                      <w:szCs w:val="20"/>
                    </w:rPr>
                    <w:t>) exposure shows that while NPAs are stable and in control, the likelihood of sharp increase in NPA rates is low. Recognized NPA exposure for MSME is ₹ 77,000 Cr</w:t>
                  </w:r>
                  <w:r w:rsidR="00994791">
                    <w:rPr>
                      <w:rFonts w:ascii="Arial" w:hAnsi="Arial" w:cs="Arial"/>
                      <w:sz w:val="20"/>
                      <w:szCs w:val="20"/>
                    </w:rPr>
                    <w:t>ore</w:t>
                  </w:r>
                  <w:r w:rsidRPr="00376596">
                    <w:rPr>
                      <w:rFonts w:ascii="Arial" w:hAnsi="Arial" w:cs="Arial"/>
                      <w:sz w:val="20"/>
                      <w:szCs w:val="20"/>
                    </w:rPr>
                    <w:t xml:space="preserve"> as on Dec’17.  ₹ 8000 Cr</w:t>
                  </w:r>
                  <w:r w:rsidR="00994791">
                    <w:rPr>
                      <w:rFonts w:ascii="Arial" w:hAnsi="Arial" w:cs="Arial"/>
                      <w:sz w:val="20"/>
                      <w:szCs w:val="20"/>
                    </w:rPr>
                    <w:t>ore</w:t>
                  </w:r>
                  <w:r w:rsidRPr="00376596">
                    <w:rPr>
                      <w:rFonts w:ascii="Arial" w:hAnsi="Arial" w:cs="Arial"/>
                      <w:sz w:val="20"/>
                      <w:szCs w:val="20"/>
                    </w:rPr>
                    <w:t xml:space="preserve"> is the non-NPA exposure of entities whose other exposures are tagged as NPA by at least one other bank or credit ins</w:t>
                  </w:r>
                  <w:r w:rsidR="00376596">
                    <w:rPr>
                      <w:rFonts w:ascii="Arial" w:hAnsi="Arial" w:cs="Arial"/>
                      <w:sz w:val="20"/>
                      <w:szCs w:val="20"/>
                    </w:rPr>
                    <w:t>titution. Exposure of ₹ 26,000 c</w:t>
                  </w:r>
                  <w:r w:rsidRPr="00376596">
                    <w:rPr>
                      <w:rFonts w:ascii="Arial" w:hAnsi="Arial" w:cs="Arial"/>
                      <w:sz w:val="20"/>
                      <w:szCs w:val="20"/>
                    </w:rPr>
                    <w:t>r</w:t>
                  </w:r>
                  <w:r w:rsidR="00376596">
                    <w:rPr>
                      <w:rFonts w:ascii="Arial" w:hAnsi="Arial" w:cs="Arial"/>
                      <w:sz w:val="20"/>
                      <w:szCs w:val="20"/>
                    </w:rPr>
                    <w:t>ores</w:t>
                  </w:r>
                  <w:r w:rsidRPr="00376596">
                    <w:rPr>
                      <w:rFonts w:ascii="Arial" w:hAnsi="Arial" w:cs="Arial"/>
                      <w:sz w:val="20"/>
                      <w:szCs w:val="20"/>
                    </w:rPr>
                    <w:t xml:space="preserve"> is for entities which show very irregular payment </w:t>
                  </w:r>
                  <w:r w:rsidR="00C61D41" w:rsidRPr="00376596">
                    <w:rPr>
                      <w:rFonts w:ascii="Arial" w:hAnsi="Arial" w:cs="Arial"/>
                      <w:sz w:val="20"/>
                      <w:szCs w:val="20"/>
                    </w:rPr>
                    <w:t>behaviour</w:t>
                  </w:r>
                  <w:r w:rsidRPr="00376596">
                    <w:rPr>
                      <w:rFonts w:ascii="Arial" w:hAnsi="Arial" w:cs="Arial"/>
                      <w:sz w:val="20"/>
                      <w:szCs w:val="20"/>
                    </w:rPr>
                    <w:t xml:space="preserve"> by having continuous overdue for the last 6 months, but have not reached the NPA stage yet. Some portion of this ₹ 34,000 Cr has high likelihood of turning into NPA in near future.</w:t>
                  </w:r>
                </w:p>
                <w:p w:rsidR="00C61D41" w:rsidRPr="00376596" w:rsidRDefault="00C61D41" w:rsidP="00376596">
                  <w:pPr>
                    <w:pStyle w:val="ListParagraph"/>
                    <w:spacing w:after="0" w:line="240" w:lineRule="auto"/>
                    <w:ind w:left="360"/>
                    <w:jc w:val="both"/>
                    <w:rPr>
                      <w:rFonts w:ascii="Arial" w:hAnsi="Arial" w:cs="Arial"/>
                      <w:sz w:val="20"/>
                      <w:szCs w:val="20"/>
                    </w:rPr>
                  </w:pPr>
                </w:p>
                <w:p w:rsidR="00C61D41" w:rsidRDefault="00C61D41" w:rsidP="00376596">
                  <w:pPr>
                    <w:pStyle w:val="ListParagraph"/>
                    <w:numPr>
                      <w:ilvl w:val="0"/>
                      <w:numId w:val="10"/>
                    </w:numPr>
                    <w:spacing w:after="0" w:line="240" w:lineRule="auto"/>
                    <w:jc w:val="both"/>
                    <w:rPr>
                      <w:rFonts w:ascii="Arial" w:hAnsi="Arial" w:cs="Arial"/>
                      <w:sz w:val="20"/>
                      <w:szCs w:val="20"/>
                    </w:rPr>
                  </w:pPr>
                  <w:r w:rsidRPr="00376596">
                    <w:rPr>
                      <w:rFonts w:ascii="Arial" w:hAnsi="Arial" w:cs="Arial"/>
                      <w:b/>
                      <w:sz w:val="20"/>
                      <w:szCs w:val="20"/>
                      <w:u w:val="single"/>
                    </w:rPr>
                    <w:t>First time MSME borrowers, on the rise:</w:t>
                  </w:r>
                  <w:r w:rsidRPr="00376596">
                    <w:rPr>
                      <w:rFonts w:ascii="Arial" w:hAnsi="Arial" w:cs="Arial"/>
                      <w:sz w:val="20"/>
                      <w:szCs w:val="20"/>
                    </w:rPr>
                    <w:t xml:space="preserve"> Number of MSME entities seeking credit for the first time (</w:t>
                  </w:r>
                  <w:r w:rsidRPr="00376596">
                    <w:rPr>
                      <w:rFonts w:ascii="Arial" w:hAnsi="Arial" w:cs="Arial"/>
                      <w:i/>
                      <w:sz w:val="20"/>
                      <w:szCs w:val="20"/>
                    </w:rPr>
                    <w:t>New to Credit (NTC) borrowers</w:t>
                  </w:r>
                  <w:r w:rsidRPr="00376596">
                    <w:rPr>
                      <w:rFonts w:ascii="Arial" w:hAnsi="Arial" w:cs="Arial"/>
                      <w:sz w:val="20"/>
                      <w:szCs w:val="20"/>
                    </w:rPr>
                    <w:t xml:space="preserve">) increased significantly- from ~2.7 lakhs in the six month period from January -June 2016 to ~4 lakhs in the period from July to December 2017. The NTC MSME usually belongs to the “Very Small” segment (less than </w:t>
                  </w:r>
                  <w:r w:rsidRPr="00376596">
                    <w:rPr>
                      <w:rFonts w:ascii="Arial" w:eastAsia="Times New Roman" w:hAnsi="Arial" w:cs="Arial"/>
                      <w:bCs/>
                      <w:i/>
                      <w:iCs/>
                      <w:color w:val="000000"/>
                      <w:sz w:val="20"/>
                      <w:szCs w:val="20"/>
                    </w:rPr>
                    <w:t xml:space="preserve">₹ </w:t>
                  </w:r>
                  <w:r w:rsidRPr="00376596">
                    <w:rPr>
                      <w:rFonts w:ascii="Arial" w:hAnsi="Arial" w:cs="Arial"/>
                      <w:sz w:val="20"/>
                      <w:szCs w:val="20"/>
                    </w:rPr>
                    <w:t>10 lakhs exposure). Providing access to credit for NTC MSME borrowers is largely enabled by Public Sector Banks which have about 80% contribution specifically in this segment.</w:t>
                  </w:r>
                </w:p>
                <w:p w:rsidR="00376596" w:rsidRDefault="00376596" w:rsidP="00376596">
                  <w:pPr>
                    <w:pStyle w:val="ListParagraph"/>
                    <w:spacing w:after="0" w:line="240" w:lineRule="auto"/>
                    <w:ind w:left="360"/>
                    <w:jc w:val="both"/>
                    <w:rPr>
                      <w:rFonts w:ascii="Arial" w:hAnsi="Arial" w:cs="Arial"/>
                      <w:b/>
                      <w:sz w:val="20"/>
                      <w:szCs w:val="20"/>
                      <w:u w:val="single"/>
                    </w:rPr>
                  </w:pPr>
                </w:p>
                <w:p w:rsidR="00376596" w:rsidRPr="00376596" w:rsidRDefault="00376596" w:rsidP="00376596">
                  <w:pPr>
                    <w:pStyle w:val="ListParagraph"/>
                    <w:spacing w:after="0" w:line="240" w:lineRule="auto"/>
                    <w:ind w:left="360"/>
                    <w:jc w:val="both"/>
                    <w:rPr>
                      <w:rFonts w:ascii="Arial" w:hAnsi="Arial" w:cs="Arial"/>
                      <w:sz w:val="20"/>
                      <w:szCs w:val="20"/>
                    </w:rPr>
                  </w:pPr>
                  <w:r w:rsidRPr="00376596">
                    <w:rPr>
                      <w:rFonts w:ascii="Arial" w:hAnsi="Arial" w:cs="Arial"/>
                      <w:sz w:val="20"/>
                      <w:szCs w:val="20"/>
                    </w:rPr>
                    <w:t>Public Sector Banks (PSB) are the dominant contributors in providing access to finance to the “Very Small” segment (less than ₹10 lakhs) NTC borrowers. PSBs hold 79% share in on boarding NTC borrowers in this segment. PSBs are playing a critical role in enabling financial inclusion of micro enterprises</w:t>
                  </w:r>
                  <w:r>
                    <w:rPr>
                      <w:rFonts w:ascii="Arial" w:hAnsi="Arial" w:cs="Arial"/>
                      <w:sz w:val="20"/>
                      <w:szCs w:val="20"/>
                    </w:rPr>
                    <w:t>.</w:t>
                  </w:r>
                </w:p>
                <w:p w:rsidR="00C61D41" w:rsidRPr="00376596" w:rsidRDefault="00C61D41" w:rsidP="00376596">
                  <w:pPr>
                    <w:pStyle w:val="ListParagraph"/>
                    <w:spacing w:after="0" w:line="240" w:lineRule="auto"/>
                    <w:ind w:left="360"/>
                    <w:jc w:val="both"/>
                    <w:rPr>
                      <w:rFonts w:ascii="Arial" w:hAnsi="Arial" w:cs="Arial"/>
                      <w:sz w:val="20"/>
                      <w:szCs w:val="20"/>
                    </w:rPr>
                  </w:pPr>
                </w:p>
                <w:p w:rsidR="00C61D41" w:rsidRPr="00376596" w:rsidRDefault="00C61D41" w:rsidP="00376596">
                  <w:pPr>
                    <w:pStyle w:val="ListParagraph"/>
                    <w:numPr>
                      <w:ilvl w:val="0"/>
                      <w:numId w:val="10"/>
                    </w:numPr>
                    <w:spacing w:after="0" w:line="240" w:lineRule="auto"/>
                    <w:jc w:val="both"/>
                    <w:rPr>
                      <w:rFonts w:ascii="Arial" w:hAnsi="Arial" w:cs="Arial"/>
                      <w:sz w:val="20"/>
                      <w:szCs w:val="20"/>
                    </w:rPr>
                  </w:pPr>
                  <w:r w:rsidRPr="00376596">
                    <w:rPr>
                      <w:rFonts w:ascii="Arial" w:hAnsi="Arial" w:cs="Arial"/>
                      <w:b/>
                      <w:sz w:val="20"/>
                      <w:szCs w:val="20"/>
                      <w:u w:val="single"/>
                    </w:rPr>
                    <w:t>Private Banks gaining market share:</w:t>
                  </w:r>
                  <w:r w:rsidRPr="00376596">
                    <w:rPr>
                      <w:rFonts w:ascii="Arial" w:hAnsi="Arial" w:cs="Arial"/>
                      <w:sz w:val="20"/>
                      <w:szCs w:val="20"/>
                    </w:rPr>
                    <w:t xml:space="preserve"> While Public Sector Banks are enabling financial inclusion, the MSME segment is becoming increasingly attractive for the Private Banks &amp; NBFCs from a profitability and </w:t>
                  </w:r>
                  <w:r w:rsidRPr="00376596">
                    <w:rPr>
                      <w:rFonts w:ascii="Arial" w:hAnsi="Arial" w:cs="Arial"/>
                      <w:color w:val="000000" w:themeColor="text1"/>
                      <w:sz w:val="20"/>
                      <w:szCs w:val="20"/>
                    </w:rPr>
                    <w:t xml:space="preserve">PSL </w:t>
                  </w:r>
                  <w:r w:rsidRPr="00376596">
                    <w:rPr>
                      <w:rFonts w:ascii="Arial" w:hAnsi="Arial" w:cs="Arial"/>
                      <w:sz w:val="20"/>
                      <w:szCs w:val="20"/>
                    </w:rPr>
                    <w:t>(Priority Sector Lending) perspective.  Private Banks and NBFCs have aggressively stepped up acquisition efforts through branch expansion and digitization initiatives offering lower turn-around-times (TATs) and superior service to these borrowers, thereby gaining market share from 34% in Dec’15 to 40% in Dec’17.</w:t>
                  </w:r>
                </w:p>
                <w:p w:rsidR="00C61D41" w:rsidRPr="00376596" w:rsidRDefault="00C61D41" w:rsidP="00376596">
                  <w:pPr>
                    <w:pStyle w:val="ListParagraph"/>
                    <w:spacing w:after="0" w:line="240" w:lineRule="auto"/>
                    <w:jc w:val="both"/>
                    <w:rPr>
                      <w:rFonts w:ascii="Arial" w:hAnsi="Arial" w:cs="Arial"/>
                      <w:sz w:val="20"/>
                      <w:szCs w:val="20"/>
                    </w:rPr>
                  </w:pPr>
                </w:p>
                <w:p w:rsidR="00C61D41" w:rsidRPr="00376596" w:rsidRDefault="00C61D41" w:rsidP="00376596">
                  <w:pPr>
                    <w:pStyle w:val="ListParagraph"/>
                    <w:numPr>
                      <w:ilvl w:val="0"/>
                      <w:numId w:val="10"/>
                    </w:numPr>
                    <w:spacing w:after="0" w:line="240" w:lineRule="auto"/>
                    <w:jc w:val="both"/>
                    <w:rPr>
                      <w:rFonts w:ascii="Arial" w:hAnsi="Arial" w:cs="Arial"/>
                      <w:sz w:val="20"/>
                      <w:szCs w:val="20"/>
                    </w:rPr>
                  </w:pPr>
                  <w:r w:rsidRPr="00376596">
                    <w:rPr>
                      <w:rFonts w:ascii="Arial" w:hAnsi="Arial" w:cs="Arial"/>
                      <w:b/>
                      <w:sz w:val="20"/>
                      <w:szCs w:val="20"/>
                      <w:u w:val="single"/>
                    </w:rPr>
                    <w:t>Impact of Demonetization and GST:</w:t>
                  </w:r>
                  <w:r w:rsidRPr="00376596">
                    <w:rPr>
                      <w:rFonts w:ascii="Arial" w:hAnsi="Arial" w:cs="Arial"/>
                      <w:sz w:val="20"/>
                      <w:szCs w:val="20"/>
                    </w:rPr>
                    <w:t xml:space="preserve">  The findings indicate that the impact of demonetization was felt more by smaller MSME or those located in smaller </w:t>
                  </w:r>
                  <w:r w:rsidR="00D00866" w:rsidRPr="00376596">
                    <w:rPr>
                      <w:rFonts w:ascii="Arial" w:hAnsi="Arial" w:cs="Arial"/>
                      <w:sz w:val="20"/>
                      <w:szCs w:val="20"/>
                    </w:rPr>
                    <w:t>centres</w:t>
                  </w:r>
                  <w:r w:rsidRPr="00376596">
                    <w:rPr>
                      <w:rFonts w:ascii="Arial" w:hAnsi="Arial" w:cs="Arial"/>
                      <w:sz w:val="20"/>
                      <w:szCs w:val="20"/>
                    </w:rPr>
                    <w:t xml:space="preserve">. However the impact of GST was more uniform across all sub-segments of MSMEs. However, the entities have bounced back from the impact of these two events and their credit activity has recovered to pre-demonetization levels.      </w:t>
                  </w:r>
                </w:p>
                <w:p w:rsidR="00C61D41" w:rsidRPr="00376596" w:rsidRDefault="00C61D41" w:rsidP="00376596">
                  <w:pPr>
                    <w:pStyle w:val="ListParagraph"/>
                    <w:spacing w:after="0" w:line="240" w:lineRule="auto"/>
                    <w:jc w:val="both"/>
                    <w:rPr>
                      <w:rFonts w:ascii="Arial" w:hAnsi="Arial" w:cs="Arial"/>
                      <w:sz w:val="20"/>
                      <w:szCs w:val="20"/>
                    </w:rPr>
                  </w:pPr>
                </w:p>
                <w:p w:rsidR="00C61D41" w:rsidRPr="00376596" w:rsidRDefault="00C61D41" w:rsidP="00376596">
                  <w:pPr>
                    <w:pStyle w:val="ListParagraph"/>
                    <w:numPr>
                      <w:ilvl w:val="0"/>
                      <w:numId w:val="10"/>
                    </w:numPr>
                    <w:spacing w:after="0" w:line="240" w:lineRule="auto"/>
                    <w:jc w:val="both"/>
                    <w:rPr>
                      <w:rFonts w:ascii="Arial" w:hAnsi="Arial" w:cs="Arial"/>
                      <w:sz w:val="20"/>
                      <w:szCs w:val="20"/>
                    </w:rPr>
                  </w:pPr>
                  <w:r w:rsidRPr="00376596">
                    <w:rPr>
                      <w:rFonts w:ascii="Arial" w:hAnsi="Arial" w:cs="Arial"/>
                      <w:b/>
                      <w:sz w:val="20"/>
                      <w:szCs w:val="20"/>
                      <w:u w:val="single"/>
                    </w:rPr>
                    <w:t xml:space="preserve"> Impact of RBI Relief on NPA reporting of SME borrowers:</w:t>
                  </w:r>
                  <w:r w:rsidRPr="00376596">
                    <w:rPr>
                      <w:rFonts w:ascii="Arial" w:hAnsi="Arial" w:cs="Arial"/>
                      <w:sz w:val="20"/>
                      <w:szCs w:val="20"/>
                    </w:rPr>
                    <w:t xml:space="preserve">  The latest RBI guideline on relaxation on NPA recognition of MSME entities registered for GST is likely to benefit 1.41 lakh borrowers with an exposure of </w:t>
                  </w:r>
                  <w:r w:rsidRPr="00376596">
                    <w:rPr>
                      <w:rFonts w:ascii="Arial" w:eastAsia="Times New Roman" w:hAnsi="Arial" w:cs="Arial"/>
                      <w:bCs/>
                      <w:i/>
                      <w:iCs/>
                      <w:color w:val="808080" w:themeColor="background1" w:themeShade="80"/>
                      <w:sz w:val="20"/>
                      <w:szCs w:val="20"/>
                    </w:rPr>
                    <w:t xml:space="preserve">₹ </w:t>
                  </w:r>
                  <w:r w:rsidRPr="00376596">
                    <w:rPr>
                      <w:rFonts w:ascii="Arial" w:hAnsi="Arial" w:cs="Arial"/>
                      <w:sz w:val="20"/>
                      <w:szCs w:val="20"/>
                    </w:rPr>
                    <w:t>12,910 Cr</w:t>
                  </w:r>
                  <w:r w:rsidR="00994791">
                    <w:rPr>
                      <w:rFonts w:ascii="Arial" w:hAnsi="Arial" w:cs="Arial"/>
                      <w:sz w:val="20"/>
                      <w:szCs w:val="20"/>
                    </w:rPr>
                    <w:t>ore</w:t>
                  </w:r>
                  <w:r w:rsidRPr="00376596">
                    <w:rPr>
                      <w:rFonts w:ascii="Arial" w:hAnsi="Arial" w:cs="Arial"/>
                      <w:sz w:val="20"/>
                      <w:szCs w:val="20"/>
                    </w:rPr>
                    <w:t xml:space="preserve"> in Jan’18. This dispensation will also benefit some of the 1.66 lakh borrowers having exposure of </w:t>
                  </w:r>
                  <w:r w:rsidRPr="00376596">
                    <w:rPr>
                      <w:rFonts w:ascii="Arial" w:eastAsia="Times New Roman" w:hAnsi="Arial" w:cs="Arial"/>
                      <w:bCs/>
                      <w:i/>
                      <w:iCs/>
                      <w:color w:val="808080" w:themeColor="background1" w:themeShade="80"/>
                      <w:sz w:val="20"/>
                      <w:szCs w:val="20"/>
                    </w:rPr>
                    <w:t xml:space="preserve">₹ </w:t>
                  </w:r>
                  <w:r w:rsidRPr="00376596">
                    <w:rPr>
                      <w:rFonts w:ascii="Arial" w:hAnsi="Arial" w:cs="Arial"/>
                      <w:sz w:val="20"/>
                      <w:szCs w:val="20"/>
                    </w:rPr>
                    <w:t>82,000 Cr</w:t>
                  </w:r>
                  <w:r w:rsidR="00994791">
                    <w:rPr>
                      <w:rFonts w:ascii="Arial" w:hAnsi="Arial" w:cs="Arial"/>
                      <w:sz w:val="20"/>
                      <w:szCs w:val="20"/>
                    </w:rPr>
                    <w:t>ore</w:t>
                  </w:r>
                  <w:r w:rsidRPr="00376596">
                    <w:rPr>
                      <w:rFonts w:ascii="Arial" w:hAnsi="Arial" w:cs="Arial"/>
                      <w:sz w:val="20"/>
                      <w:szCs w:val="20"/>
                    </w:rPr>
                    <w:t xml:space="preserve"> with CIBIL MSME Rank 7 to 10 who have a high probability of slippage to the 90+ bucket in the next few months and provide them and the lenders additional time to work on remedial measures.</w:t>
                  </w:r>
                </w:p>
                <w:p w:rsidR="00D5568D" w:rsidRPr="00376596" w:rsidRDefault="00D5568D" w:rsidP="00376596">
                  <w:pPr>
                    <w:pStyle w:val="ListParagraph"/>
                    <w:spacing w:after="0" w:line="240" w:lineRule="auto"/>
                    <w:ind w:left="360"/>
                    <w:jc w:val="both"/>
                    <w:rPr>
                      <w:rFonts w:ascii="Arial" w:hAnsi="Arial" w:cs="Arial"/>
                      <w:sz w:val="20"/>
                      <w:szCs w:val="20"/>
                    </w:rPr>
                  </w:pPr>
                </w:p>
                <w:p w:rsidR="00D5568D" w:rsidRDefault="00BD396E" w:rsidP="00376596">
                  <w:pPr>
                    <w:pStyle w:val="ListParagraph"/>
                    <w:numPr>
                      <w:ilvl w:val="0"/>
                      <w:numId w:val="10"/>
                    </w:numPr>
                    <w:tabs>
                      <w:tab w:val="left" w:pos="1073"/>
                    </w:tabs>
                    <w:spacing w:after="0" w:line="240" w:lineRule="auto"/>
                    <w:jc w:val="both"/>
                    <w:rPr>
                      <w:rFonts w:ascii="Arial" w:hAnsi="Arial" w:cs="Arial"/>
                      <w:sz w:val="20"/>
                      <w:szCs w:val="20"/>
                    </w:rPr>
                  </w:pPr>
                  <w:r w:rsidRPr="00376596">
                    <w:rPr>
                      <w:rFonts w:ascii="Arial" w:hAnsi="Arial" w:cs="Arial"/>
                      <w:b/>
                      <w:sz w:val="20"/>
                      <w:szCs w:val="20"/>
                      <w:u w:val="single"/>
                    </w:rPr>
                    <w:t>State wise</w:t>
                  </w:r>
                  <w:r w:rsidR="00D5568D" w:rsidRPr="00376596">
                    <w:rPr>
                      <w:rFonts w:ascii="Arial" w:hAnsi="Arial" w:cs="Arial"/>
                      <w:b/>
                      <w:sz w:val="20"/>
                      <w:szCs w:val="20"/>
                      <w:u w:val="single"/>
                    </w:rPr>
                    <w:t xml:space="preserve"> MSME credit exposure</w:t>
                  </w:r>
                  <w:r w:rsidR="00D5568D" w:rsidRPr="00376596">
                    <w:rPr>
                      <w:rFonts w:ascii="Arial" w:hAnsi="Arial" w:cs="Arial"/>
                      <w:b/>
                      <w:sz w:val="20"/>
                      <w:szCs w:val="20"/>
                    </w:rPr>
                    <w:t>-</w:t>
                  </w:r>
                  <w:r w:rsidR="00D5568D" w:rsidRPr="00376596">
                    <w:rPr>
                      <w:rFonts w:ascii="Arial" w:hAnsi="Arial" w:cs="Arial"/>
                      <w:sz w:val="20"/>
                      <w:szCs w:val="20"/>
                    </w:rPr>
                    <w:t xml:space="preserve"> Top 5 states namely Maharashtra, Tamil Nadu, Gujarat, Andhra Pradesh and Uttar Pradesh account for 45% of the banking sector’s exposure to MSME segment. Among the top 10 states, Rajasthan has the lowest NPA rate (as of Dec’17) of 3.5%, which account for 4.3% of banking exposure to MSMEs. </w:t>
                  </w:r>
                </w:p>
                <w:p w:rsidR="00176EA7" w:rsidRPr="00176EA7" w:rsidRDefault="00176EA7" w:rsidP="00176EA7">
                  <w:pPr>
                    <w:tabs>
                      <w:tab w:val="left" w:pos="1073"/>
                    </w:tabs>
                    <w:spacing w:after="0" w:line="240" w:lineRule="auto"/>
                    <w:jc w:val="both"/>
                    <w:rPr>
                      <w:rFonts w:ascii="Arial" w:hAnsi="Arial" w:cs="Arial"/>
                      <w:sz w:val="20"/>
                      <w:szCs w:val="20"/>
                    </w:rPr>
                  </w:pPr>
                </w:p>
                <w:p w:rsidR="003D322C" w:rsidRDefault="003D322C" w:rsidP="004B1742">
                  <w:r w:rsidRPr="00376596">
                    <w:rPr>
                      <w:rFonts w:ascii="Arial" w:hAnsi="Arial" w:cs="Arial"/>
                      <w:b/>
                      <w:i/>
                      <w:sz w:val="20"/>
                      <w:szCs w:val="20"/>
                    </w:rPr>
                    <w:t xml:space="preserve">Click here to read the full report: </w:t>
                  </w:r>
                  <w:r w:rsidR="008A1CD8" w:rsidRPr="004B1742">
                    <w:rPr>
                      <w:rFonts w:ascii="Trebuchet MS" w:hAnsi="Trebuchet MS"/>
                    </w:rPr>
                    <w:t>https://www.transunioncibil.com/insights-events</w:t>
                  </w:r>
                </w:p>
              </w:txbxContent>
            </v:textbox>
            <w10:wrap type="square"/>
          </v:shape>
        </w:pict>
      </w:r>
      <w:r w:rsidR="00BD396E" w:rsidRPr="00C819D6">
        <w:rPr>
          <w:rFonts w:ascii="Arial" w:hAnsi="Arial" w:cs="Arial"/>
          <w:i/>
          <w:sz w:val="20"/>
          <w:szCs w:val="20"/>
        </w:rPr>
        <w:t>various sub-segments and categories of lenders.</w:t>
      </w:r>
      <w:r w:rsidRPr="00C819D6">
        <w:rPr>
          <w:rFonts w:ascii="Arial" w:hAnsi="Arial" w:cs="Arial"/>
          <w:i/>
          <w:sz w:val="20"/>
          <w:szCs w:val="20"/>
        </w:rPr>
        <w:t>”</w:t>
      </w:r>
    </w:p>
    <w:p w:rsidR="004B1742" w:rsidRDefault="00D806BC" w:rsidP="00BD396E">
      <w:pPr>
        <w:spacing w:line="240" w:lineRule="auto"/>
        <w:jc w:val="both"/>
        <w:rPr>
          <w:rFonts w:ascii="Arial" w:hAnsi="Arial" w:cs="Arial"/>
          <w:b/>
          <w:sz w:val="20"/>
          <w:szCs w:val="20"/>
        </w:rPr>
      </w:pPr>
      <w:bookmarkStart w:id="0" w:name="_GoBack"/>
      <w:bookmarkEnd w:id="0"/>
      <w:r>
        <w:rPr>
          <w:rFonts w:ascii="Arial" w:hAnsi="Arial" w:cs="Arial"/>
          <w:b/>
          <w:noProof/>
          <w:sz w:val="20"/>
          <w:szCs w:val="20"/>
          <w:lang w:val="en-US"/>
        </w:rPr>
        <w:lastRenderedPageBreak/>
        <w:drawing>
          <wp:inline distT="0" distB="0" distL="0" distR="0">
            <wp:extent cx="5731510" cy="3820795"/>
            <wp:effectExtent l="19050" t="0" r="2540" b="0"/>
            <wp:docPr id="1" name="Picture 0" descr="IMG_7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175.jpg"/>
                    <pic:cNvPicPr/>
                  </pic:nvPicPr>
                  <pic:blipFill>
                    <a:blip r:embed="rId8" cstate="print"/>
                    <a:stretch>
                      <a:fillRect/>
                    </a:stretch>
                  </pic:blipFill>
                  <pic:spPr>
                    <a:xfrm>
                      <a:off x="0" y="0"/>
                      <a:ext cx="5731510" cy="3820795"/>
                    </a:xfrm>
                    <a:prstGeom prst="rect">
                      <a:avLst/>
                    </a:prstGeom>
                  </pic:spPr>
                </pic:pic>
              </a:graphicData>
            </a:graphic>
          </wp:inline>
        </w:drawing>
      </w:r>
    </w:p>
    <w:p w:rsidR="00D806BC" w:rsidRDefault="00D806BC" w:rsidP="00BD396E">
      <w:pPr>
        <w:spacing w:line="240" w:lineRule="auto"/>
        <w:jc w:val="both"/>
        <w:rPr>
          <w:rFonts w:ascii="Arial" w:hAnsi="Arial" w:cs="Arial"/>
          <w:b/>
          <w:sz w:val="20"/>
          <w:szCs w:val="20"/>
        </w:rPr>
      </w:pPr>
    </w:p>
    <w:p w:rsidR="00D806BC" w:rsidRDefault="00D806BC" w:rsidP="00BD396E">
      <w:pPr>
        <w:spacing w:line="240" w:lineRule="auto"/>
        <w:jc w:val="both"/>
        <w:rPr>
          <w:rFonts w:ascii="Arial" w:hAnsi="Arial" w:cs="Arial"/>
          <w:b/>
          <w:sz w:val="20"/>
          <w:szCs w:val="20"/>
        </w:rPr>
      </w:pPr>
      <w:r>
        <w:rPr>
          <w:rFonts w:ascii="Arial" w:hAnsi="Arial" w:cs="Arial"/>
          <w:b/>
          <w:noProof/>
          <w:sz w:val="20"/>
          <w:szCs w:val="20"/>
          <w:lang w:val="en-US"/>
        </w:rPr>
        <w:drawing>
          <wp:inline distT="0" distB="0" distL="0" distR="0">
            <wp:extent cx="5731510" cy="3223895"/>
            <wp:effectExtent l="19050" t="0" r="254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a:stretch>
                      <a:fillRect/>
                    </a:stretch>
                  </pic:blipFill>
                  <pic:spPr>
                    <a:xfrm>
                      <a:off x="0" y="0"/>
                      <a:ext cx="5731510" cy="3223895"/>
                    </a:xfrm>
                    <a:prstGeom prst="rect">
                      <a:avLst/>
                    </a:prstGeom>
                  </pic:spPr>
                </pic:pic>
              </a:graphicData>
            </a:graphic>
          </wp:inline>
        </w:drawing>
      </w:r>
    </w:p>
    <w:p w:rsidR="00D806BC" w:rsidRDefault="00D806BC" w:rsidP="00BD396E">
      <w:pPr>
        <w:spacing w:line="240" w:lineRule="auto"/>
        <w:jc w:val="both"/>
        <w:rPr>
          <w:rFonts w:ascii="Arial" w:hAnsi="Arial" w:cs="Arial"/>
          <w:b/>
          <w:sz w:val="20"/>
          <w:szCs w:val="20"/>
        </w:rPr>
      </w:pPr>
    </w:p>
    <w:sectPr w:rsidR="00D806BC" w:rsidSect="00EF5FF5">
      <w:headerReference w:type="default" r:id="rId10"/>
      <w:footerReference w:type="default" r:id="rId11"/>
      <w:pgSz w:w="11906" w:h="16838"/>
      <w:pgMar w:top="1440" w:right="1440" w:bottom="1440" w:left="1440"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B56" w:rsidRDefault="001E3B56" w:rsidP="005E7843">
      <w:pPr>
        <w:spacing w:after="0" w:line="240" w:lineRule="auto"/>
      </w:pPr>
      <w:r>
        <w:separator/>
      </w:r>
    </w:p>
  </w:endnote>
  <w:endnote w:type="continuationSeparator" w:id="1">
    <w:p w:rsidR="001E3B56" w:rsidRDefault="001E3B56" w:rsidP="005E7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F6C" w:rsidRDefault="00181F6C">
    <w:pPr>
      <w:pStyle w:val="Footer"/>
    </w:pPr>
    <w:r>
      <w:t>Private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B56" w:rsidRDefault="001E3B56" w:rsidP="005E7843">
      <w:pPr>
        <w:spacing w:after="0" w:line="240" w:lineRule="auto"/>
      </w:pPr>
      <w:r>
        <w:separator/>
      </w:r>
    </w:p>
  </w:footnote>
  <w:footnote w:type="continuationSeparator" w:id="1">
    <w:p w:rsidR="001E3B56" w:rsidRDefault="001E3B56" w:rsidP="005E78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F5" w:rsidRDefault="00EF5FF5" w:rsidP="00EF5FF5">
    <w:pPr>
      <w:pStyle w:val="Header"/>
      <w:jc w:val="both"/>
    </w:pPr>
    <w:r>
      <w:rPr>
        <w:noProof/>
        <w:lang w:val="en-US"/>
      </w:rPr>
      <w:drawing>
        <wp:inline distT="0" distB="0" distL="0" distR="0">
          <wp:extent cx="1905000" cy="809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809625"/>
                  </a:xfrm>
                  <a:prstGeom prst="rect">
                    <a:avLst/>
                  </a:prstGeom>
                  <a:noFill/>
                  <a:ln>
                    <a:noFill/>
                  </a:ln>
                </pic:spPr>
              </pic:pic>
            </a:graphicData>
          </a:graphic>
        </wp:inline>
      </w:drawing>
    </w:r>
    <w:r>
      <w:object w:dxaOrig="17713" w:dyaOrig="4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54pt" o:ole="">
          <v:imagedata r:id="rId2" o:title=""/>
        </v:shape>
        <o:OLEObject Type="Embed" ProgID="PBrush" ShapeID="_x0000_i1025" DrawAspect="Content" ObjectID="_1609073081" r:id="rId3"/>
      </w:object>
    </w:r>
  </w:p>
  <w:p w:rsidR="005E7843" w:rsidRDefault="005E7843" w:rsidP="00BC6D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2EDE94"/>
    <w:lvl w:ilvl="0">
      <w:numFmt w:val="bullet"/>
      <w:lvlText w:val="*"/>
      <w:lvlJc w:val="left"/>
    </w:lvl>
  </w:abstractNum>
  <w:abstractNum w:abstractNumId="1">
    <w:nsid w:val="08F84FC7"/>
    <w:multiLevelType w:val="hybridMultilevel"/>
    <w:tmpl w:val="E89A0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1E41D30"/>
    <w:multiLevelType w:val="hybridMultilevel"/>
    <w:tmpl w:val="DA9A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9C473C"/>
    <w:multiLevelType w:val="hybridMultilevel"/>
    <w:tmpl w:val="1E82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4717A1"/>
    <w:multiLevelType w:val="hybridMultilevel"/>
    <w:tmpl w:val="A7306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8E4BBB"/>
    <w:multiLevelType w:val="hybridMultilevel"/>
    <w:tmpl w:val="9A925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54346A"/>
    <w:multiLevelType w:val="hybridMultilevel"/>
    <w:tmpl w:val="91FCFDB2"/>
    <w:lvl w:ilvl="0" w:tplc="2C1217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D6511C"/>
    <w:multiLevelType w:val="hybridMultilevel"/>
    <w:tmpl w:val="BDF4D2E2"/>
    <w:lvl w:ilvl="0" w:tplc="9410CF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BC3D28"/>
    <w:multiLevelType w:val="hybridMultilevel"/>
    <w:tmpl w:val="254E9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DBC4E9D"/>
    <w:multiLevelType w:val="hybridMultilevel"/>
    <w:tmpl w:val="5D3E8C94"/>
    <w:lvl w:ilvl="0" w:tplc="9410CF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FD21DE"/>
    <w:multiLevelType w:val="hybridMultilevel"/>
    <w:tmpl w:val="4D9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9"/>
  </w:num>
  <w:num w:numId="5">
    <w:abstractNumId w:val="7"/>
  </w:num>
  <w:num w:numId="6">
    <w:abstractNumId w:val="4"/>
  </w:num>
  <w:num w:numId="7">
    <w:abstractNumId w:val="10"/>
  </w:num>
  <w:num w:numId="8">
    <w:abstractNumId w:val="0"/>
    <w:lvlOverride w:ilvl="0">
      <w:lvl w:ilvl="0">
        <w:numFmt w:val="bullet"/>
        <w:lvlText w:val="•"/>
        <w:legacy w:legacy="1" w:legacySpace="0" w:legacyIndent="0"/>
        <w:lvlJc w:val="left"/>
        <w:rPr>
          <w:rFonts w:ascii="Arial" w:hAnsi="Arial" w:cs="Arial" w:hint="default"/>
          <w:sz w:val="28"/>
        </w:rPr>
      </w:lvl>
    </w:lvlOverride>
  </w:num>
  <w:num w:numId="9">
    <w:abstractNumId w:val="6"/>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C1070E"/>
    <w:rsid w:val="00000F01"/>
    <w:rsid w:val="00003907"/>
    <w:rsid w:val="00004346"/>
    <w:rsid w:val="0000499C"/>
    <w:rsid w:val="00014F70"/>
    <w:rsid w:val="00025904"/>
    <w:rsid w:val="000327A7"/>
    <w:rsid w:val="00032D63"/>
    <w:rsid w:val="00034B27"/>
    <w:rsid w:val="00037BD4"/>
    <w:rsid w:val="000429EC"/>
    <w:rsid w:val="00050E43"/>
    <w:rsid w:val="00053799"/>
    <w:rsid w:val="0005576A"/>
    <w:rsid w:val="00055C4B"/>
    <w:rsid w:val="000576F2"/>
    <w:rsid w:val="00062674"/>
    <w:rsid w:val="00072426"/>
    <w:rsid w:val="00081613"/>
    <w:rsid w:val="000830FA"/>
    <w:rsid w:val="00083FA5"/>
    <w:rsid w:val="00090578"/>
    <w:rsid w:val="000B1F14"/>
    <w:rsid w:val="000C2145"/>
    <w:rsid w:val="000F5F04"/>
    <w:rsid w:val="000F72E2"/>
    <w:rsid w:val="000F7900"/>
    <w:rsid w:val="00103380"/>
    <w:rsid w:val="001209EE"/>
    <w:rsid w:val="00122380"/>
    <w:rsid w:val="00133AE8"/>
    <w:rsid w:val="00135DC4"/>
    <w:rsid w:val="00143A66"/>
    <w:rsid w:val="001457C5"/>
    <w:rsid w:val="00155C29"/>
    <w:rsid w:val="00157882"/>
    <w:rsid w:val="0017169C"/>
    <w:rsid w:val="00176EA7"/>
    <w:rsid w:val="00177E3E"/>
    <w:rsid w:val="00181F6C"/>
    <w:rsid w:val="001836B1"/>
    <w:rsid w:val="00190475"/>
    <w:rsid w:val="00195C1E"/>
    <w:rsid w:val="001B7E58"/>
    <w:rsid w:val="001C7C1F"/>
    <w:rsid w:val="001E3B56"/>
    <w:rsid w:val="001F179D"/>
    <w:rsid w:val="001F6866"/>
    <w:rsid w:val="002072D8"/>
    <w:rsid w:val="00214884"/>
    <w:rsid w:val="00214BF0"/>
    <w:rsid w:val="002361C0"/>
    <w:rsid w:val="002522F6"/>
    <w:rsid w:val="002639B7"/>
    <w:rsid w:val="00267F93"/>
    <w:rsid w:val="00272A2D"/>
    <w:rsid w:val="002A11A7"/>
    <w:rsid w:val="002A290D"/>
    <w:rsid w:val="002B111C"/>
    <w:rsid w:val="002B1596"/>
    <w:rsid w:val="002E3C02"/>
    <w:rsid w:val="002F68E9"/>
    <w:rsid w:val="00303E75"/>
    <w:rsid w:val="00304C59"/>
    <w:rsid w:val="00306F3C"/>
    <w:rsid w:val="003175A2"/>
    <w:rsid w:val="00317BC8"/>
    <w:rsid w:val="00320673"/>
    <w:rsid w:val="00323506"/>
    <w:rsid w:val="00325375"/>
    <w:rsid w:val="003304F1"/>
    <w:rsid w:val="00332A03"/>
    <w:rsid w:val="00336845"/>
    <w:rsid w:val="003440FF"/>
    <w:rsid w:val="00347E9D"/>
    <w:rsid w:val="00372763"/>
    <w:rsid w:val="003763EB"/>
    <w:rsid w:val="00376596"/>
    <w:rsid w:val="003850C8"/>
    <w:rsid w:val="003914C7"/>
    <w:rsid w:val="00393D01"/>
    <w:rsid w:val="0039411E"/>
    <w:rsid w:val="00394A92"/>
    <w:rsid w:val="003A0210"/>
    <w:rsid w:val="003C0628"/>
    <w:rsid w:val="003D322C"/>
    <w:rsid w:val="003D3878"/>
    <w:rsid w:val="003D56CC"/>
    <w:rsid w:val="003D7F44"/>
    <w:rsid w:val="003E6118"/>
    <w:rsid w:val="003F6470"/>
    <w:rsid w:val="00403689"/>
    <w:rsid w:val="0041176F"/>
    <w:rsid w:val="00432A56"/>
    <w:rsid w:val="00436CD2"/>
    <w:rsid w:val="004377B5"/>
    <w:rsid w:val="00444197"/>
    <w:rsid w:val="00463FAA"/>
    <w:rsid w:val="00473820"/>
    <w:rsid w:val="00474420"/>
    <w:rsid w:val="00477066"/>
    <w:rsid w:val="00481458"/>
    <w:rsid w:val="00482D5C"/>
    <w:rsid w:val="00495B82"/>
    <w:rsid w:val="00495BF9"/>
    <w:rsid w:val="00497D77"/>
    <w:rsid w:val="004B1742"/>
    <w:rsid w:val="004B3BB7"/>
    <w:rsid w:val="004B7139"/>
    <w:rsid w:val="004E48F6"/>
    <w:rsid w:val="004F4E07"/>
    <w:rsid w:val="0052204A"/>
    <w:rsid w:val="005305BB"/>
    <w:rsid w:val="00544DEA"/>
    <w:rsid w:val="005471F5"/>
    <w:rsid w:val="0054753D"/>
    <w:rsid w:val="00555B33"/>
    <w:rsid w:val="00565151"/>
    <w:rsid w:val="005A1529"/>
    <w:rsid w:val="005A5D02"/>
    <w:rsid w:val="005A687F"/>
    <w:rsid w:val="005B4126"/>
    <w:rsid w:val="005B769A"/>
    <w:rsid w:val="005C655D"/>
    <w:rsid w:val="005C7421"/>
    <w:rsid w:val="005D58E2"/>
    <w:rsid w:val="005E6408"/>
    <w:rsid w:val="005E7843"/>
    <w:rsid w:val="005F7BFA"/>
    <w:rsid w:val="00601EA6"/>
    <w:rsid w:val="0060396B"/>
    <w:rsid w:val="00612F6E"/>
    <w:rsid w:val="00613E09"/>
    <w:rsid w:val="00624837"/>
    <w:rsid w:val="00634B5D"/>
    <w:rsid w:val="00634C3A"/>
    <w:rsid w:val="00645A21"/>
    <w:rsid w:val="00650440"/>
    <w:rsid w:val="006545C5"/>
    <w:rsid w:val="006616FF"/>
    <w:rsid w:val="00661E5B"/>
    <w:rsid w:val="0067036E"/>
    <w:rsid w:val="006728A9"/>
    <w:rsid w:val="00680ED8"/>
    <w:rsid w:val="00687661"/>
    <w:rsid w:val="00692BA5"/>
    <w:rsid w:val="006C17FA"/>
    <w:rsid w:val="006D5309"/>
    <w:rsid w:val="006F08AA"/>
    <w:rsid w:val="00712048"/>
    <w:rsid w:val="007214C3"/>
    <w:rsid w:val="007433A2"/>
    <w:rsid w:val="00753450"/>
    <w:rsid w:val="00753466"/>
    <w:rsid w:val="00757626"/>
    <w:rsid w:val="00776E04"/>
    <w:rsid w:val="00776FD3"/>
    <w:rsid w:val="00777BF2"/>
    <w:rsid w:val="0078389E"/>
    <w:rsid w:val="007948EB"/>
    <w:rsid w:val="0079744F"/>
    <w:rsid w:val="007A4109"/>
    <w:rsid w:val="007A43A5"/>
    <w:rsid w:val="007B1F8C"/>
    <w:rsid w:val="007B7455"/>
    <w:rsid w:val="007C2885"/>
    <w:rsid w:val="007C2DB0"/>
    <w:rsid w:val="007D49D3"/>
    <w:rsid w:val="007D4E96"/>
    <w:rsid w:val="007E2664"/>
    <w:rsid w:val="007E54D2"/>
    <w:rsid w:val="0081766E"/>
    <w:rsid w:val="008301C1"/>
    <w:rsid w:val="008447E5"/>
    <w:rsid w:val="00846A44"/>
    <w:rsid w:val="00856100"/>
    <w:rsid w:val="00861F45"/>
    <w:rsid w:val="00862FF0"/>
    <w:rsid w:val="008674A0"/>
    <w:rsid w:val="00871549"/>
    <w:rsid w:val="0088206D"/>
    <w:rsid w:val="008866F2"/>
    <w:rsid w:val="008A098F"/>
    <w:rsid w:val="008A1CD8"/>
    <w:rsid w:val="008D6478"/>
    <w:rsid w:val="008E29EA"/>
    <w:rsid w:val="008E38F0"/>
    <w:rsid w:val="00901C6B"/>
    <w:rsid w:val="0090352D"/>
    <w:rsid w:val="00907A92"/>
    <w:rsid w:val="00917070"/>
    <w:rsid w:val="00917A67"/>
    <w:rsid w:val="009216E3"/>
    <w:rsid w:val="0092685D"/>
    <w:rsid w:val="00936AB3"/>
    <w:rsid w:val="009434AC"/>
    <w:rsid w:val="00945269"/>
    <w:rsid w:val="00945B1E"/>
    <w:rsid w:val="00961BCD"/>
    <w:rsid w:val="00966521"/>
    <w:rsid w:val="009746DD"/>
    <w:rsid w:val="00974E80"/>
    <w:rsid w:val="0098750A"/>
    <w:rsid w:val="00994791"/>
    <w:rsid w:val="009A4F89"/>
    <w:rsid w:val="009C2280"/>
    <w:rsid w:val="009C277E"/>
    <w:rsid w:val="009C41CD"/>
    <w:rsid w:val="009E0CDA"/>
    <w:rsid w:val="009E735A"/>
    <w:rsid w:val="009F3160"/>
    <w:rsid w:val="00A006E4"/>
    <w:rsid w:val="00A1791E"/>
    <w:rsid w:val="00A17BB9"/>
    <w:rsid w:val="00A25F27"/>
    <w:rsid w:val="00A46517"/>
    <w:rsid w:val="00A61FA7"/>
    <w:rsid w:val="00A62B6D"/>
    <w:rsid w:val="00A63A32"/>
    <w:rsid w:val="00A65480"/>
    <w:rsid w:val="00A65C2C"/>
    <w:rsid w:val="00A73B5A"/>
    <w:rsid w:val="00AA0157"/>
    <w:rsid w:val="00AA4960"/>
    <w:rsid w:val="00AB13A7"/>
    <w:rsid w:val="00AB551E"/>
    <w:rsid w:val="00AB7EF7"/>
    <w:rsid w:val="00AC362B"/>
    <w:rsid w:val="00AC3D11"/>
    <w:rsid w:val="00AC7934"/>
    <w:rsid w:val="00AD49AD"/>
    <w:rsid w:val="00AD65D7"/>
    <w:rsid w:val="00AE0B54"/>
    <w:rsid w:val="00AE3FD1"/>
    <w:rsid w:val="00AF247D"/>
    <w:rsid w:val="00AF743C"/>
    <w:rsid w:val="00AF7CD4"/>
    <w:rsid w:val="00B02B0C"/>
    <w:rsid w:val="00B22852"/>
    <w:rsid w:val="00B23653"/>
    <w:rsid w:val="00B24DBD"/>
    <w:rsid w:val="00B2584A"/>
    <w:rsid w:val="00B2780E"/>
    <w:rsid w:val="00B30A3D"/>
    <w:rsid w:val="00B32122"/>
    <w:rsid w:val="00B40AEE"/>
    <w:rsid w:val="00B427C2"/>
    <w:rsid w:val="00B43331"/>
    <w:rsid w:val="00B43F70"/>
    <w:rsid w:val="00B47B1E"/>
    <w:rsid w:val="00B5652F"/>
    <w:rsid w:val="00B5703C"/>
    <w:rsid w:val="00B5773D"/>
    <w:rsid w:val="00B8646D"/>
    <w:rsid w:val="00B87871"/>
    <w:rsid w:val="00B92956"/>
    <w:rsid w:val="00B95382"/>
    <w:rsid w:val="00BC195C"/>
    <w:rsid w:val="00BC3784"/>
    <w:rsid w:val="00BC6D34"/>
    <w:rsid w:val="00BD0B25"/>
    <w:rsid w:val="00BD396E"/>
    <w:rsid w:val="00BE4195"/>
    <w:rsid w:val="00BF1AA2"/>
    <w:rsid w:val="00BF5B14"/>
    <w:rsid w:val="00BF5E75"/>
    <w:rsid w:val="00C05193"/>
    <w:rsid w:val="00C1070E"/>
    <w:rsid w:val="00C213A0"/>
    <w:rsid w:val="00C545F4"/>
    <w:rsid w:val="00C570D2"/>
    <w:rsid w:val="00C61D41"/>
    <w:rsid w:val="00C72C95"/>
    <w:rsid w:val="00C755BB"/>
    <w:rsid w:val="00C819D6"/>
    <w:rsid w:val="00C86053"/>
    <w:rsid w:val="00C904D4"/>
    <w:rsid w:val="00C95C0A"/>
    <w:rsid w:val="00CA766D"/>
    <w:rsid w:val="00CA77FD"/>
    <w:rsid w:val="00CC277A"/>
    <w:rsid w:val="00CC586C"/>
    <w:rsid w:val="00CD3801"/>
    <w:rsid w:val="00CF61B0"/>
    <w:rsid w:val="00D00866"/>
    <w:rsid w:val="00D0280C"/>
    <w:rsid w:val="00D03533"/>
    <w:rsid w:val="00D200A5"/>
    <w:rsid w:val="00D21E85"/>
    <w:rsid w:val="00D30DE7"/>
    <w:rsid w:val="00D37BF6"/>
    <w:rsid w:val="00D45192"/>
    <w:rsid w:val="00D5568D"/>
    <w:rsid w:val="00D61227"/>
    <w:rsid w:val="00D61E23"/>
    <w:rsid w:val="00D648EC"/>
    <w:rsid w:val="00D806BC"/>
    <w:rsid w:val="00D83DE9"/>
    <w:rsid w:val="00D9501D"/>
    <w:rsid w:val="00DA0F78"/>
    <w:rsid w:val="00DB2127"/>
    <w:rsid w:val="00DB3C6D"/>
    <w:rsid w:val="00DB6176"/>
    <w:rsid w:val="00E042D8"/>
    <w:rsid w:val="00E065FB"/>
    <w:rsid w:val="00E168FD"/>
    <w:rsid w:val="00E24F65"/>
    <w:rsid w:val="00E30747"/>
    <w:rsid w:val="00E30832"/>
    <w:rsid w:val="00E343BD"/>
    <w:rsid w:val="00E40E97"/>
    <w:rsid w:val="00E4298C"/>
    <w:rsid w:val="00E531B8"/>
    <w:rsid w:val="00E5338B"/>
    <w:rsid w:val="00E53E82"/>
    <w:rsid w:val="00E6350B"/>
    <w:rsid w:val="00E67B15"/>
    <w:rsid w:val="00E80DE1"/>
    <w:rsid w:val="00E84F13"/>
    <w:rsid w:val="00EA1260"/>
    <w:rsid w:val="00EA4C33"/>
    <w:rsid w:val="00EA5532"/>
    <w:rsid w:val="00EA5C15"/>
    <w:rsid w:val="00EB0D2C"/>
    <w:rsid w:val="00ED5DB2"/>
    <w:rsid w:val="00ED76C7"/>
    <w:rsid w:val="00EE601A"/>
    <w:rsid w:val="00EF4E3D"/>
    <w:rsid w:val="00EF5FF5"/>
    <w:rsid w:val="00F0118B"/>
    <w:rsid w:val="00F06439"/>
    <w:rsid w:val="00F10BFD"/>
    <w:rsid w:val="00F112DC"/>
    <w:rsid w:val="00F23D9A"/>
    <w:rsid w:val="00F24460"/>
    <w:rsid w:val="00F2528C"/>
    <w:rsid w:val="00F34B72"/>
    <w:rsid w:val="00F40618"/>
    <w:rsid w:val="00F46919"/>
    <w:rsid w:val="00F46DBD"/>
    <w:rsid w:val="00F53C7F"/>
    <w:rsid w:val="00F57C5A"/>
    <w:rsid w:val="00F60BF5"/>
    <w:rsid w:val="00F65331"/>
    <w:rsid w:val="00F6791E"/>
    <w:rsid w:val="00F71A57"/>
    <w:rsid w:val="00F74644"/>
    <w:rsid w:val="00F76514"/>
    <w:rsid w:val="00F87744"/>
    <w:rsid w:val="00F94D2F"/>
    <w:rsid w:val="00F964C0"/>
    <w:rsid w:val="00FA0F32"/>
    <w:rsid w:val="00FB7210"/>
    <w:rsid w:val="00FE1461"/>
    <w:rsid w:val="00FF4DAC"/>
    <w:rsid w:val="00FF52E2"/>
    <w:rsid w:val="00FF5A50"/>
    <w:rsid w:val="00FF5D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BF5"/>
  </w:style>
  <w:style w:type="paragraph" w:styleId="Heading1">
    <w:name w:val="heading 1"/>
    <w:basedOn w:val="Normal"/>
    <w:next w:val="Normal"/>
    <w:link w:val="Heading1Char"/>
    <w:uiPriority w:val="9"/>
    <w:qFormat/>
    <w:rsid w:val="00E635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50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E7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843"/>
  </w:style>
  <w:style w:type="paragraph" w:styleId="Footer">
    <w:name w:val="footer"/>
    <w:basedOn w:val="Normal"/>
    <w:link w:val="FooterChar"/>
    <w:uiPriority w:val="99"/>
    <w:unhideWhenUsed/>
    <w:rsid w:val="005E7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843"/>
  </w:style>
  <w:style w:type="paragraph" w:styleId="ListParagraph">
    <w:name w:val="List Paragraph"/>
    <w:basedOn w:val="Normal"/>
    <w:uiPriority w:val="34"/>
    <w:qFormat/>
    <w:rsid w:val="00846A44"/>
    <w:pPr>
      <w:ind w:left="720"/>
      <w:contextualSpacing/>
    </w:pPr>
  </w:style>
  <w:style w:type="character" w:styleId="CommentReference">
    <w:name w:val="annotation reference"/>
    <w:basedOn w:val="DefaultParagraphFont"/>
    <w:uiPriority w:val="99"/>
    <w:semiHidden/>
    <w:unhideWhenUsed/>
    <w:rsid w:val="009746DD"/>
    <w:rPr>
      <w:sz w:val="16"/>
      <w:szCs w:val="16"/>
    </w:rPr>
  </w:style>
  <w:style w:type="paragraph" w:styleId="CommentText">
    <w:name w:val="annotation text"/>
    <w:basedOn w:val="Normal"/>
    <w:link w:val="CommentTextChar"/>
    <w:uiPriority w:val="99"/>
    <w:semiHidden/>
    <w:unhideWhenUsed/>
    <w:rsid w:val="009746DD"/>
    <w:pPr>
      <w:spacing w:line="240" w:lineRule="auto"/>
    </w:pPr>
    <w:rPr>
      <w:sz w:val="20"/>
      <w:szCs w:val="20"/>
    </w:rPr>
  </w:style>
  <w:style w:type="character" w:customStyle="1" w:styleId="CommentTextChar">
    <w:name w:val="Comment Text Char"/>
    <w:basedOn w:val="DefaultParagraphFont"/>
    <w:link w:val="CommentText"/>
    <w:uiPriority w:val="99"/>
    <w:semiHidden/>
    <w:rsid w:val="009746DD"/>
    <w:rPr>
      <w:sz w:val="20"/>
      <w:szCs w:val="20"/>
    </w:rPr>
  </w:style>
  <w:style w:type="paragraph" w:styleId="CommentSubject">
    <w:name w:val="annotation subject"/>
    <w:basedOn w:val="CommentText"/>
    <w:next w:val="CommentText"/>
    <w:link w:val="CommentSubjectChar"/>
    <w:uiPriority w:val="99"/>
    <w:semiHidden/>
    <w:unhideWhenUsed/>
    <w:rsid w:val="009746DD"/>
    <w:rPr>
      <w:b/>
      <w:bCs/>
    </w:rPr>
  </w:style>
  <w:style w:type="character" w:customStyle="1" w:styleId="CommentSubjectChar">
    <w:name w:val="Comment Subject Char"/>
    <w:basedOn w:val="CommentTextChar"/>
    <w:link w:val="CommentSubject"/>
    <w:uiPriority w:val="99"/>
    <w:semiHidden/>
    <w:rsid w:val="009746DD"/>
    <w:rPr>
      <w:b/>
      <w:bCs/>
      <w:sz w:val="20"/>
      <w:szCs w:val="20"/>
    </w:rPr>
  </w:style>
  <w:style w:type="paragraph" w:styleId="BalloonText">
    <w:name w:val="Balloon Text"/>
    <w:basedOn w:val="Normal"/>
    <w:link w:val="BalloonTextChar"/>
    <w:uiPriority w:val="99"/>
    <w:semiHidden/>
    <w:unhideWhenUsed/>
    <w:rsid w:val="00974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6DD"/>
    <w:rPr>
      <w:rFonts w:ascii="Segoe UI" w:hAnsi="Segoe UI" w:cs="Segoe UI"/>
      <w:sz w:val="18"/>
      <w:szCs w:val="18"/>
    </w:rPr>
  </w:style>
  <w:style w:type="paragraph" w:styleId="NormalWeb">
    <w:name w:val="Normal (Web)"/>
    <w:basedOn w:val="Normal"/>
    <w:uiPriority w:val="99"/>
    <w:semiHidden/>
    <w:unhideWhenUsed/>
    <w:rsid w:val="00917070"/>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BC6D3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BC6D34"/>
    <w:rPr>
      <w:sz w:val="20"/>
      <w:szCs w:val="20"/>
      <w:lang w:val="en-US"/>
    </w:rPr>
  </w:style>
  <w:style w:type="character" w:styleId="FootnoteReference">
    <w:name w:val="footnote reference"/>
    <w:basedOn w:val="DefaultParagraphFont"/>
    <w:uiPriority w:val="99"/>
    <w:semiHidden/>
    <w:unhideWhenUsed/>
    <w:rsid w:val="00BC6D34"/>
    <w:rPr>
      <w:vertAlign w:val="superscript"/>
    </w:rPr>
  </w:style>
  <w:style w:type="paragraph" w:styleId="EndnoteText">
    <w:name w:val="endnote text"/>
    <w:basedOn w:val="Normal"/>
    <w:link w:val="EndnoteTextChar"/>
    <w:uiPriority w:val="99"/>
    <w:unhideWhenUsed/>
    <w:rsid w:val="00D5568D"/>
    <w:pPr>
      <w:spacing w:after="0" w:line="240" w:lineRule="auto"/>
    </w:pPr>
    <w:rPr>
      <w:sz w:val="20"/>
      <w:szCs w:val="20"/>
      <w:lang w:val="en-US"/>
    </w:rPr>
  </w:style>
  <w:style w:type="character" w:customStyle="1" w:styleId="EndnoteTextChar">
    <w:name w:val="Endnote Text Char"/>
    <w:basedOn w:val="DefaultParagraphFont"/>
    <w:link w:val="EndnoteText"/>
    <w:uiPriority w:val="99"/>
    <w:rsid w:val="00D5568D"/>
    <w:rPr>
      <w:sz w:val="20"/>
      <w:szCs w:val="20"/>
      <w:lang w:val="en-US"/>
    </w:rPr>
  </w:style>
  <w:style w:type="character" w:styleId="Hyperlink">
    <w:name w:val="Hyperlink"/>
    <w:basedOn w:val="DefaultParagraphFont"/>
    <w:uiPriority w:val="99"/>
    <w:unhideWhenUsed/>
    <w:rsid w:val="00AA496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2525266">
      <w:bodyDiv w:val="1"/>
      <w:marLeft w:val="0"/>
      <w:marRight w:val="0"/>
      <w:marTop w:val="0"/>
      <w:marBottom w:val="0"/>
      <w:divBdr>
        <w:top w:val="none" w:sz="0" w:space="0" w:color="auto"/>
        <w:left w:val="none" w:sz="0" w:space="0" w:color="auto"/>
        <w:bottom w:val="none" w:sz="0" w:space="0" w:color="auto"/>
        <w:right w:val="none" w:sz="0" w:space="0" w:color="auto"/>
      </w:divBdr>
    </w:div>
    <w:div w:id="360396968">
      <w:bodyDiv w:val="1"/>
      <w:marLeft w:val="0"/>
      <w:marRight w:val="0"/>
      <w:marTop w:val="0"/>
      <w:marBottom w:val="0"/>
      <w:divBdr>
        <w:top w:val="none" w:sz="0" w:space="0" w:color="auto"/>
        <w:left w:val="none" w:sz="0" w:space="0" w:color="auto"/>
        <w:bottom w:val="none" w:sz="0" w:space="0" w:color="auto"/>
        <w:right w:val="none" w:sz="0" w:space="0" w:color="auto"/>
      </w:divBdr>
    </w:div>
    <w:div w:id="437870271">
      <w:bodyDiv w:val="1"/>
      <w:marLeft w:val="0"/>
      <w:marRight w:val="0"/>
      <w:marTop w:val="0"/>
      <w:marBottom w:val="0"/>
      <w:divBdr>
        <w:top w:val="none" w:sz="0" w:space="0" w:color="auto"/>
        <w:left w:val="none" w:sz="0" w:space="0" w:color="auto"/>
        <w:bottom w:val="none" w:sz="0" w:space="0" w:color="auto"/>
        <w:right w:val="none" w:sz="0" w:space="0" w:color="auto"/>
      </w:divBdr>
    </w:div>
    <w:div w:id="638265822">
      <w:bodyDiv w:val="1"/>
      <w:marLeft w:val="0"/>
      <w:marRight w:val="0"/>
      <w:marTop w:val="0"/>
      <w:marBottom w:val="0"/>
      <w:divBdr>
        <w:top w:val="none" w:sz="0" w:space="0" w:color="auto"/>
        <w:left w:val="none" w:sz="0" w:space="0" w:color="auto"/>
        <w:bottom w:val="none" w:sz="0" w:space="0" w:color="auto"/>
        <w:right w:val="none" w:sz="0" w:space="0" w:color="auto"/>
      </w:divBdr>
    </w:div>
    <w:div w:id="781614824">
      <w:bodyDiv w:val="1"/>
      <w:marLeft w:val="0"/>
      <w:marRight w:val="0"/>
      <w:marTop w:val="0"/>
      <w:marBottom w:val="0"/>
      <w:divBdr>
        <w:top w:val="none" w:sz="0" w:space="0" w:color="auto"/>
        <w:left w:val="none" w:sz="0" w:space="0" w:color="auto"/>
        <w:bottom w:val="none" w:sz="0" w:space="0" w:color="auto"/>
        <w:right w:val="none" w:sz="0" w:space="0" w:color="auto"/>
      </w:divBdr>
    </w:div>
    <w:div w:id="854147543">
      <w:bodyDiv w:val="1"/>
      <w:marLeft w:val="0"/>
      <w:marRight w:val="0"/>
      <w:marTop w:val="0"/>
      <w:marBottom w:val="0"/>
      <w:divBdr>
        <w:top w:val="none" w:sz="0" w:space="0" w:color="auto"/>
        <w:left w:val="none" w:sz="0" w:space="0" w:color="auto"/>
        <w:bottom w:val="none" w:sz="0" w:space="0" w:color="auto"/>
        <w:right w:val="none" w:sz="0" w:space="0" w:color="auto"/>
      </w:divBdr>
    </w:div>
    <w:div w:id="1127775673">
      <w:bodyDiv w:val="1"/>
      <w:marLeft w:val="0"/>
      <w:marRight w:val="0"/>
      <w:marTop w:val="0"/>
      <w:marBottom w:val="0"/>
      <w:divBdr>
        <w:top w:val="none" w:sz="0" w:space="0" w:color="auto"/>
        <w:left w:val="none" w:sz="0" w:space="0" w:color="auto"/>
        <w:bottom w:val="none" w:sz="0" w:space="0" w:color="auto"/>
        <w:right w:val="none" w:sz="0" w:space="0" w:color="auto"/>
      </w:divBdr>
    </w:div>
    <w:div w:id="1195077903">
      <w:bodyDiv w:val="1"/>
      <w:marLeft w:val="0"/>
      <w:marRight w:val="0"/>
      <w:marTop w:val="0"/>
      <w:marBottom w:val="0"/>
      <w:divBdr>
        <w:top w:val="none" w:sz="0" w:space="0" w:color="auto"/>
        <w:left w:val="none" w:sz="0" w:space="0" w:color="auto"/>
        <w:bottom w:val="none" w:sz="0" w:space="0" w:color="auto"/>
        <w:right w:val="none" w:sz="0" w:space="0" w:color="auto"/>
      </w:divBdr>
    </w:div>
    <w:div w:id="1283270256">
      <w:bodyDiv w:val="1"/>
      <w:marLeft w:val="0"/>
      <w:marRight w:val="0"/>
      <w:marTop w:val="0"/>
      <w:marBottom w:val="0"/>
      <w:divBdr>
        <w:top w:val="none" w:sz="0" w:space="0" w:color="auto"/>
        <w:left w:val="none" w:sz="0" w:space="0" w:color="auto"/>
        <w:bottom w:val="none" w:sz="0" w:space="0" w:color="auto"/>
        <w:right w:val="none" w:sz="0" w:space="0" w:color="auto"/>
      </w:divBdr>
    </w:div>
    <w:div w:id="1419788523">
      <w:bodyDiv w:val="1"/>
      <w:marLeft w:val="0"/>
      <w:marRight w:val="0"/>
      <w:marTop w:val="0"/>
      <w:marBottom w:val="0"/>
      <w:divBdr>
        <w:top w:val="none" w:sz="0" w:space="0" w:color="auto"/>
        <w:left w:val="none" w:sz="0" w:space="0" w:color="auto"/>
        <w:bottom w:val="none" w:sz="0" w:space="0" w:color="auto"/>
        <w:right w:val="none" w:sz="0" w:space="0" w:color="auto"/>
      </w:divBdr>
    </w:div>
    <w:div w:id="1448965507">
      <w:bodyDiv w:val="1"/>
      <w:marLeft w:val="0"/>
      <w:marRight w:val="0"/>
      <w:marTop w:val="0"/>
      <w:marBottom w:val="0"/>
      <w:divBdr>
        <w:top w:val="none" w:sz="0" w:space="0" w:color="auto"/>
        <w:left w:val="none" w:sz="0" w:space="0" w:color="auto"/>
        <w:bottom w:val="none" w:sz="0" w:space="0" w:color="auto"/>
        <w:right w:val="none" w:sz="0" w:space="0" w:color="auto"/>
      </w:divBdr>
    </w:div>
    <w:div w:id="1548106738">
      <w:bodyDiv w:val="1"/>
      <w:marLeft w:val="0"/>
      <w:marRight w:val="0"/>
      <w:marTop w:val="0"/>
      <w:marBottom w:val="0"/>
      <w:divBdr>
        <w:top w:val="none" w:sz="0" w:space="0" w:color="auto"/>
        <w:left w:val="none" w:sz="0" w:space="0" w:color="auto"/>
        <w:bottom w:val="none" w:sz="0" w:space="0" w:color="auto"/>
        <w:right w:val="none" w:sz="0" w:space="0" w:color="auto"/>
      </w:divBdr>
    </w:div>
    <w:div w:id="1707103161">
      <w:bodyDiv w:val="1"/>
      <w:marLeft w:val="0"/>
      <w:marRight w:val="0"/>
      <w:marTop w:val="0"/>
      <w:marBottom w:val="0"/>
      <w:divBdr>
        <w:top w:val="none" w:sz="0" w:space="0" w:color="auto"/>
        <w:left w:val="none" w:sz="0" w:space="0" w:color="auto"/>
        <w:bottom w:val="none" w:sz="0" w:space="0" w:color="auto"/>
        <w:right w:val="none" w:sz="0" w:space="0" w:color="auto"/>
      </w:divBdr>
    </w:div>
    <w:div w:id="1729718878">
      <w:bodyDiv w:val="1"/>
      <w:marLeft w:val="0"/>
      <w:marRight w:val="0"/>
      <w:marTop w:val="0"/>
      <w:marBottom w:val="0"/>
      <w:divBdr>
        <w:top w:val="none" w:sz="0" w:space="0" w:color="auto"/>
        <w:left w:val="none" w:sz="0" w:space="0" w:color="auto"/>
        <w:bottom w:val="none" w:sz="0" w:space="0" w:color="auto"/>
        <w:right w:val="none" w:sz="0" w:space="0" w:color="auto"/>
      </w:divBdr>
    </w:div>
    <w:div w:id="1775903316">
      <w:bodyDiv w:val="1"/>
      <w:marLeft w:val="0"/>
      <w:marRight w:val="0"/>
      <w:marTop w:val="0"/>
      <w:marBottom w:val="0"/>
      <w:divBdr>
        <w:top w:val="none" w:sz="0" w:space="0" w:color="auto"/>
        <w:left w:val="none" w:sz="0" w:space="0" w:color="auto"/>
        <w:bottom w:val="none" w:sz="0" w:space="0" w:color="auto"/>
        <w:right w:val="none" w:sz="0" w:space="0" w:color="auto"/>
      </w:divBdr>
    </w:div>
    <w:div w:id="1895776406">
      <w:bodyDiv w:val="1"/>
      <w:marLeft w:val="0"/>
      <w:marRight w:val="0"/>
      <w:marTop w:val="0"/>
      <w:marBottom w:val="0"/>
      <w:divBdr>
        <w:top w:val="none" w:sz="0" w:space="0" w:color="auto"/>
        <w:left w:val="none" w:sz="0" w:space="0" w:color="auto"/>
        <w:bottom w:val="none" w:sz="0" w:space="0" w:color="auto"/>
        <w:right w:val="none" w:sz="0" w:space="0" w:color="auto"/>
      </w:divBdr>
    </w:div>
    <w:div w:id="1934705184">
      <w:bodyDiv w:val="1"/>
      <w:marLeft w:val="0"/>
      <w:marRight w:val="0"/>
      <w:marTop w:val="0"/>
      <w:marBottom w:val="0"/>
      <w:divBdr>
        <w:top w:val="none" w:sz="0" w:space="0" w:color="auto"/>
        <w:left w:val="none" w:sz="0" w:space="0" w:color="auto"/>
        <w:bottom w:val="none" w:sz="0" w:space="0" w:color="auto"/>
        <w:right w:val="none" w:sz="0" w:space="0" w:color="auto"/>
      </w:divBdr>
    </w:div>
    <w:div w:id="2135171684">
      <w:bodyDiv w:val="1"/>
      <w:marLeft w:val="0"/>
      <w:marRight w:val="0"/>
      <w:marTop w:val="0"/>
      <w:marBottom w:val="0"/>
      <w:divBdr>
        <w:top w:val="none" w:sz="0" w:space="0" w:color="auto"/>
        <w:left w:val="none" w:sz="0" w:space="0" w:color="auto"/>
        <w:bottom w:val="none" w:sz="0" w:space="0" w:color="auto"/>
        <w:right w:val="none" w:sz="0" w:space="0" w:color="auto"/>
      </w:divBdr>
    </w:div>
    <w:div w:id="21442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E4890-6880-4169-980A-F7465190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Joshi</dc:creator>
  <cp:keywords/>
  <dc:description/>
  <cp:lastModifiedBy>STTL-31</cp:lastModifiedBy>
  <cp:revision>4</cp:revision>
  <cp:lastPrinted>2017-12-05T06:29:00Z</cp:lastPrinted>
  <dcterms:created xsi:type="dcterms:W3CDTF">2018-03-31T12:33:00Z</dcterms:created>
  <dcterms:modified xsi:type="dcterms:W3CDTF">2019-01-15T10:28:00Z</dcterms:modified>
</cp:coreProperties>
</file>