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C34B5" w14:textId="23BF1382" w:rsidR="00D5656D" w:rsidRDefault="00236CCF" w:rsidP="00880D48">
      <w:pPr>
        <w:jc w:val="center"/>
        <w:rPr>
          <w:b/>
          <w:bCs/>
          <w:sz w:val="40"/>
          <w:szCs w:val="40"/>
          <w:u w:val="single"/>
        </w:rPr>
      </w:pPr>
      <w:r w:rsidRPr="00236CCF">
        <w:rPr>
          <w:rFonts w:cs="Mangal"/>
          <w:b/>
          <w:bCs/>
          <w:sz w:val="40"/>
          <w:szCs w:val="40"/>
          <w:u w:val="single"/>
          <w:cs/>
        </w:rPr>
        <w:t>शुद्धिपत्र</w:t>
      </w:r>
      <w:r>
        <w:rPr>
          <w:rFonts w:cs="Mangal"/>
          <w:b/>
          <w:bCs/>
          <w:sz w:val="40"/>
          <w:szCs w:val="40"/>
          <w:u w:val="single"/>
        </w:rPr>
        <w:t xml:space="preserve"> / </w:t>
      </w:r>
      <w:r w:rsidR="00880D48" w:rsidRPr="00880D48">
        <w:rPr>
          <w:b/>
          <w:bCs/>
          <w:sz w:val="40"/>
          <w:szCs w:val="40"/>
          <w:u w:val="single"/>
        </w:rPr>
        <w:t>Corrigendum</w:t>
      </w:r>
    </w:p>
    <w:p w14:paraId="0FFAF20E" w14:textId="3C5C9065" w:rsidR="00236CCF" w:rsidRDefault="00236CCF" w:rsidP="00236CCF">
      <w:pPr>
        <w:ind w:firstLine="720"/>
        <w:jc w:val="both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>दिनांक जून 17</w:t>
      </w:r>
      <w:r>
        <w:rPr>
          <w:rFonts w:hint="cs"/>
          <w:sz w:val="24"/>
          <w:szCs w:val="24"/>
        </w:rPr>
        <w:t xml:space="preserve">, </w:t>
      </w:r>
      <w:r>
        <w:rPr>
          <w:rFonts w:hint="cs"/>
          <w:sz w:val="24"/>
          <w:szCs w:val="24"/>
          <w:cs/>
        </w:rPr>
        <w:t>2019 को हुई प्री बिड मीटिंग में बोली लगाने के इच्‍छुक ने निम्‍नलिखित पूछताछ की है</w:t>
      </w:r>
      <w:r>
        <w:rPr>
          <w:rFonts w:hint="cs"/>
          <w:sz w:val="24"/>
          <w:szCs w:val="24"/>
        </w:rPr>
        <w:t xml:space="preserve">, </w:t>
      </w:r>
      <w:r>
        <w:rPr>
          <w:rFonts w:hint="cs"/>
          <w:sz w:val="24"/>
          <w:szCs w:val="24"/>
          <w:cs/>
        </w:rPr>
        <w:t xml:space="preserve">जिसमें बोली लगाने वाले निम्‍न पर ध्‍यान रखें और इस </w:t>
      </w:r>
      <w:r w:rsidRPr="00236CCF">
        <w:rPr>
          <w:rFonts w:cs="Mangal"/>
          <w:sz w:val="24"/>
          <w:szCs w:val="24"/>
          <w:cs/>
        </w:rPr>
        <w:t>शुद्धिपत्र</w:t>
      </w:r>
      <w:r>
        <w:rPr>
          <w:rFonts w:cs="Mangal" w:hint="cs"/>
          <w:sz w:val="24"/>
          <w:szCs w:val="24"/>
          <w:cs/>
        </w:rPr>
        <w:t xml:space="preserve"> की प्रति हस्‍ताक्षर करके बिड की साथ लगाएं </w:t>
      </w:r>
    </w:p>
    <w:p w14:paraId="4E627A12" w14:textId="745C3219" w:rsidR="00880D48" w:rsidRDefault="00880D48" w:rsidP="00880D48">
      <w:pPr>
        <w:ind w:firstLine="720"/>
        <w:rPr>
          <w:sz w:val="24"/>
          <w:szCs w:val="24"/>
        </w:rPr>
      </w:pPr>
      <w:r w:rsidRPr="00880D48">
        <w:rPr>
          <w:sz w:val="24"/>
          <w:szCs w:val="24"/>
        </w:rPr>
        <w:t>The queries raised in the pre-bid meeting held on 17/06/2019 are clarified as below</w:t>
      </w:r>
      <w:r>
        <w:rPr>
          <w:sz w:val="24"/>
          <w:szCs w:val="24"/>
        </w:rPr>
        <w:t>. Interested bidders are advised to take a note of the same and submit the signed copy of this corrigendum along with the bid.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2338"/>
        <w:gridCol w:w="6498"/>
      </w:tblGrid>
      <w:tr w:rsidR="00880D48" w14:paraId="3236063F" w14:textId="77777777" w:rsidTr="00121B4D">
        <w:tc>
          <w:tcPr>
            <w:tcW w:w="740" w:type="dxa"/>
          </w:tcPr>
          <w:p w14:paraId="674E0379" w14:textId="0D21F596" w:rsidR="00880D48" w:rsidRPr="00880D48" w:rsidRDefault="00880D48" w:rsidP="00880D48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880D48">
              <w:rPr>
                <w:b/>
                <w:bCs/>
                <w:i/>
                <w:iCs/>
                <w:sz w:val="24"/>
                <w:szCs w:val="24"/>
                <w:u w:val="single"/>
              </w:rPr>
              <w:t>S.No</w:t>
            </w:r>
            <w:proofErr w:type="spellEnd"/>
            <w:r w:rsidRPr="00880D48">
              <w:rPr>
                <w:b/>
                <w:bCs/>
                <w:i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2338" w:type="dxa"/>
          </w:tcPr>
          <w:p w14:paraId="63B84239" w14:textId="541290E8" w:rsidR="00880D48" w:rsidRPr="00880D48" w:rsidRDefault="00880D48" w:rsidP="00880D48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80D48">
              <w:rPr>
                <w:b/>
                <w:bCs/>
                <w:i/>
                <w:iCs/>
                <w:sz w:val="24"/>
                <w:szCs w:val="24"/>
                <w:u w:val="single"/>
              </w:rPr>
              <w:t>Query</w:t>
            </w:r>
          </w:p>
        </w:tc>
        <w:tc>
          <w:tcPr>
            <w:tcW w:w="6498" w:type="dxa"/>
          </w:tcPr>
          <w:p w14:paraId="2ED165AA" w14:textId="33C4AF27" w:rsidR="00880D48" w:rsidRPr="00880D48" w:rsidRDefault="00880D48" w:rsidP="00880D48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80D48">
              <w:rPr>
                <w:b/>
                <w:bCs/>
                <w:i/>
                <w:iCs/>
                <w:sz w:val="24"/>
                <w:szCs w:val="24"/>
                <w:u w:val="single"/>
              </w:rPr>
              <w:t>Clarification</w:t>
            </w:r>
          </w:p>
        </w:tc>
      </w:tr>
      <w:tr w:rsidR="00880D48" w14:paraId="437CBF0D" w14:textId="77777777" w:rsidTr="00121B4D">
        <w:tc>
          <w:tcPr>
            <w:tcW w:w="740" w:type="dxa"/>
          </w:tcPr>
          <w:p w14:paraId="0356490F" w14:textId="3DA4A298" w:rsidR="00880D48" w:rsidRDefault="00880D48" w:rsidP="00880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38" w:type="dxa"/>
          </w:tcPr>
          <w:p w14:paraId="5D9A7068" w14:textId="1E5C9159" w:rsidR="00880D48" w:rsidRDefault="00880D48" w:rsidP="00121B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SIDBI requires the personnel for 6 days a week or 7 days a week?</w:t>
            </w:r>
          </w:p>
        </w:tc>
        <w:tc>
          <w:tcPr>
            <w:tcW w:w="6498" w:type="dxa"/>
          </w:tcPr>
          <w:p w14:paraId="6CA8BFF9" w14:textId="70143AD5" w:rsidR="00880D48" w:rsidRDefault="00880D48" w:rsidP="008035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SIDBI requires the personnel for </w:t>
            </w:r>
            <w:r w:rsidR="008035CF" w:rsidRPr="00382FFD">
              <w:rPr>
                <w:b/>
                <w:bCs/>
                <w:sz w:val="24"/>
                <w:szCs w:val="24"/>
              </w:rPr>
              <w:t>6</w:t>
            </w:r>
            <w:r w:rsidRPr="00382FFD">
              <w:rPr>
                <w:b/>
                <w:bCs/>
                <w:sz w:val="24"/>
                <w:szCs w:val="24"/>
              </w:rPr>
              <w:t xml:space="preserve"> days in a week</w:t>
            </w:r>
            <w:r>
              <w:rPr>
                <w:sz w:val="24"/>
                <w:szCs w:val="24"/>
              </w:rPr>
              <w:t xml:space="preserve">, keeping provision for a weekly off to the working personnel. However, the agency should </w:t>
            </w:r>
            <w:r w:rsidR="008035CF">
              <w:rPr>
                <w:sz w:val="24"/>
                <w:szCs w:val="24"/>
              </w:rPr>
              <w:t xml:space="preserve">schedule the weekly offs in a such a manner that the weekly offs of technicians of same category shall not coincide. Further, </w:t>
            </w:r>
            <w:r w:rsidR="008035CF" w:rsidRPr="008035CF">
              <w:rPr>
                <w:b/>
                <w:bCs/>
                <w:sz w:val="24"/>
                <w:szCs w:val="24"/>
              </w:rPr>
              <w:t>if need arises</w:t>
            </w:r>
            <w:r w:rsidR="008035CF">
              <w:rPr>
                <w:sz w:val="24"/>
                <w:szCs w:val="24"/>
              </w:rPr>
              <w:t xml:space="preserve">, the agency should arrange for a replacement to the personnel who is on weekly off </w:t>
            </w:r>
            <w:r w:rsidR="00CB7ACC">
              <w:rPr>
                <w:sz w:val="24"/>
                <w:szCs w:val="24"/>
              </w:rPr>
              <w:t>at</w:t>
            </w:r>
            <w:r w:rsidR="008035CF">
              <w:rPr>
                <w:sz w:val="24"/>
                <w:szCs w:val="24"/>
              </w:rPr>
              <w:t xml:space="preserve"> </w:t>
            </w:r>
            <w:r w:rsidR="00382FFD">
              <w:rPr>
                <w:sz w:val="24"/>
                <w:szCs w:val="24"/>
              </w:rPr>
              <w:t xml:space="preserve">the </w:t>
            </w:r>
            <w:r w:rsidR="008035CF">
              <w:rPr>
                <w:sz w:val="24"/>
                <w:szCs w:val="24"/>
              </w:rPr>
              <w:t>same proportional rates of the tender.</w:t>
            </w:r>
          </w:p>
          <w:p w14:paraId="07121C9B" w14:textId="77777777" w:rsidR="008035CF" w:rsidRDefault="008035CF" w:rsidP="008035CF">
            <w:pPr>
              <w:jc w:val="both"/>
              <w:rPr>
                <w:sz w:val="24"/>
                <w:szCs w:val="24"/>
              </w:rPr>
            </w:pPr>
          </w:p>
          <w:p w14:paraId="08D7379A" w14:textId="60C7DEAC" w:rsidR="00880D48" w:rsidRDefault="00880D48" w:rsidP="00121B4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Accordingly</w:t>
            </w:r>
            <w:proofErr w:type="gramEnd"/>
            <w:r>
              <w:rPr>
                <w:sz w:val="24"/>
                <w:szCs w:val="24"/>
              </w:rPr>
              <w:t xml:space="preserve"> the wording of “7 days a week” given in the description column of the price bid may be read as “6 days a week”.</w:t>
            </w:r>
          </w:p>
        </w:tc>
      </w:tr>
      <w:tr w:rsidR="00880D48" w14:paraId="5A1B4E95" w14:textId="77777777" w:rsidTr="00121B4D">
        <w:tc>
          <w:tcPr>
            <w:tcW w:w="740" w:type="dxa"/>
          </w:tcPr>
          <w:p w14:paraId="6E31F32B" w14:textId="11DD7373" w:rsidR="00880D48" w:rsidRDefault="00880D48" w:rsidP="00880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38" w:type="dxa"/>
          </w:tcPr>
          <w:p w14:paraId="23BA20BA" w14:textId="6E9AE9B5" w:rsidR="00880D48" w:rsidRDefault="008035CF" w:rsidP="00121B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any provision for escalation of rates as per the revised minimum wages in future?</w:t>
            </w:r>
          </w:p>
        </w:tc>
        <w:tc>
          <w:tcPr>
            <w:tcW w:w="6498" w:type="dxa"/>
          </w:tcPr>
          <w:p w14:paraId="36865297" w14:textId="74E490E2" w:rsidR="00880D48" w:rsidRDefault="008035CF" w:rsidP="00121B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bidders are advised to quote as per the prevailing minimum wages</w:t>
            </w:r>
            <w:r w:rsidR="00382FFD">
              <w:rPr>
                <w:sz w:val="24"/>
                <w:szCs w:val="24"/>
              </w:rPr>
              <w:t xml:space="preserve"> of central government</w:t>
            </w:r>
            <w:r w:rsidR="00CB7ACC">
              <w:rPr>
                <w:sz w:val="24"/>
                <w:szCs w:val="24"/>
              </w:rPr>
              <w:t xml:space="preserve"> </w:t>
            </w:r>
            <w:r w:rsidR="00382FFD">
              <w:rPr>
                <w:sz w:val="24"/>
                <w:szCs w:val="24"/>
              </w:rPr>
              <w:t>(</w:t>
            </w:r>
            <w:r w:rsidR="00CB7ACC">
              <w:rPr>
                <w:sz w:val="24"/>
                <w:szCs w:val="24"/>
              </w:rPr>
              <w:t>as on the tender date</w:t>
            </w:r>
            <w:r w:rsidR="00382FFD">
              <w:rPr>
                <w:sz w:val="24"/>
                <w:szCs w:val="24"/>
              </w:rPr>
              <w:t>)</w:t>
            </w:r>
            <w:r w:rsidR="00CB7ACC">
              <w:rPr>
                <w:sz w:val="24"/>
                <w:szCs w:val="24"/>
              </w:rPr>
              <w:t xml:space="preserve">. If there is any increase in the minimum wages in future during the AMC period, </w:t>
            </w:r>
            <w:r w:rsidR="00CB7ACC" w:rsidRPr="00382FFD">
              <w:rPr>
                <w:b/>
                <w:bCs/>
                <w:sz w:val="24"/>
                <w:szCs w:val="24"/>
              </w:rPr>
              <w:t>only the differential amount of increase</w:t>
            </w:r>
            <w:r w:rsidR="00CB7ACC">
              <w:rPr>
                <w:sz w:val="24"/>
                <w:szCs w:val="24"/>
              </w:rPr>
              <w:t xml:space="preserve"> shall be payable</w:t>
            </w:r>
            <w:r w:rsidR="00382FFD">
              <w:rPr>
                <w:sz w:val="24"/>
                <w:szCs w:val="24"/>
              </w:rPr>
              <w:t>.</w:t>
            </w:r>
          </w:p>
        </w:tc>
      </w:tr>
    </w:tbl>
    <w:p w14:paraId="0F1DEA73" w14:textId="77777777" w:rsidR="00880D48" w:rsidRPr="00880D48" w:rsidRDefault="00880D48" w:rsidP="00880D48">
      <w:pPr>
        <w:rPr>
          <w:sz w:val="24"/>
          <w:szCs w:val="24"/>
        </w:rPr>
      </w:pPr>
    </w:p>
    <w:p w14:paraId="05E40A48" w14:textId="33DF9C62" w:rsidR="00121B4D" w:rsidRDefault="00121B4D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121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E03A3"/>
    <w:rsid w:val="00121B4D"/>
    <w:rsid w:val="00236CCF"/>
    <w:rsid w:val="00382FFD"/>
    <w:rsid w:val="005E03A3"/>
    <w:rsid w:val="0074729C"/>
    <w:rsid w:val="008035CF"/>
    <w:rsid w:val="00880D48"/>
    <w:rsid w:val="009F0A64"/>
    <w:rsid w:val="00C81128"/>
    <w:rsid w:val="00CB7ACC"/>
    <w:rsid w:val="00D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AA10"/>
  <w15:chartTrackingRefBased/>
  <w15:docId w15:val="{D74F3BDC-2AFC-44A2-A75F-F6D3ABAF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Nadimpalli Prudhvi Raju</dc:creator>
  <cp:keywords/>
  <dc:description/>
  <cp:lastModifiedBy>Manohar Krishan</cp:lastModifiedBy>
  <cp:revision>8</cp:revision>
  <cp:lastPrinted>2019-06-19T10:25:00Z</cp:lastPrinted>
  <dcterms:created xsi:type="dcterms:W3CDTF">2019-06-19T09:08:00Z</dcterms:created>
  <dcterms:modified xsi:type="dcterms:W3CDTF">2019-06-19T10:44:00Z</dcterms:modified>
</cp:coreProperties>
</file>